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1" w:rightFromText="141" w:vertAnchor="page" w:horzAnchor="margin" w:tblpY="2292"/>
        <w:tblW w:w="0" w:type="auto"/>
        <w:tblLook w:val="04A0" w:firstRow="1" w:lastRow="0" w:firstColumn="1" w:lastColumn="0" w:noHBand="0" w:noVBand="1"/>
      </w:tblPr>
      <w:tblGrid>
        <w:gridCol w:w="3498"/>
        <w:gridCol w:w="3498"/>
        <w:gridCol w:w="3499"/>
        <w:gridCol w:w="3499"/>
      </w:tblGrid>
      <w:tr w:rsidR="00915E7E" w:rsidRPr="00292718" w14:paraId="74F384BF" w14:textId="77777777" w:rsidTr="002901AB">
        <w:tc>
          <w:tcPr>
            <w:tcW w:w="3498" w:type="dxa"/>
            <w:shd w:val="clear" w:color="auto" w:fill="FFC000"/>
          </w:tcPr>
          <w:p w14:paraId="0E8C7346" w14:textId="77777777" w:rsidR="00915E7E" w:rsidRPr="00292718" w:rsidRDefault="00877300" w:rsidP="002901AB">
            <w:pPr>
              <w:rPr>
                <w:b/>
                <w:i/>
                <w:lang w:val="en-GB"/>
              </w:rPr>
            </w:pPr>
            <w:r w:rsidRPr="00292718">
              <w:rPr>
                <w:b/>
                <w:i/>
                <w:lang w:val="en-GB"/>
              </w:rPr>
              <w:t>ESG PART 1</w:t>
            </w:r>
          </w:p>
          <w:p w14:paraId="3D2EF2F6" w14:textId="77777777" w:rsidR="00877300" w:rsidRPr="00292718" w:rsidRDefault="00FD17AA" w:rsidP="002901AB">
            <w:pPr>
              <w:rPr>
                <w:b/>
                <w:i/>
                <w:lang w:val="en-GB"/>
              </w:rPr>
            </w:pPr>
            <w:r w:rsidRPr="00292718">
              <w:rPr>
                <w:b/>
                <w:i/>
                <w:lang w:val="en-GB"/>
              </w:rPr>
              <w:t>STANDARDS AND GUIDELINES</w:t>
            </w:r>
            <w:r w:rsidR="00A81CF7" w:rsidRPr="00292718">
              <w:rPr>
                <w:b/>
                <w:i/>
                <w:lang w:val="en-GB"/>
              </w:rPr>
              <w:t xml:space="preserve"> FOR INTERNAL QUALITY ASSURANCE</w:t>
            </w:r>
          </w:p>
        </w:tc>
        <w:tc>
          <w:tcPr>
            <w:tcW w:w="3498" w:type="dxa"/>
            <w:shd w:val="clear" w:color="auto" w:fill="FFC000"/>
          </w:tcPr>
          <w:p w14:paraId="4D2B997D" w14:textId="77777777" w:rsidR="00915E7E" w:rsidRPr="00292718" w:rsidRDefault="00877300" w:rsidP="002901AB">
            <w:pPr>
              <w:rPr>
                <w:b/>
                <w:lang w:val="en-GB"/>
              </w:rPr>
            </w:pPr>
            <w:r w:rsidRPr="00292718">
              <w:rPr>
                <w:b/>
                <w:lang w:val="en-GB"/>
              </w:rPr>
              <w:t>CURRENT STATE OF AFFAIRS IN AZERBAIJAN</w:t>
            </w:r>
          </w:p>
        </w:tc>
        <w:tc>
          <w:tcPr>
            <w:tcW w:w="3499" w:type="dxa"/>
            <w:shd w:val="clear" w:color="auto" w:fill="FFC000"/>
          </w:tcPr>
          <w:p w14:paraId="1CAC2D40" w14:textId="69B4F203" w:rsidR="00915E7E" w:rsidRPr="00292718" w:rsidRDefault="00877300" w:rsidP="001123DA">
            <w:pPr>
              <w:rPr>
                <w:b/>
                <w:color w:val="FFC000"/>
                <w:lang w:val="en-GB"/>
              </w:rPr>
            </w:pPr>
            <w:r w:rsidRPr="00292718">
              <w:rPr>
                <w:b/>
                <w:lang w:val="en-GB"/>
              </w:rPr>
              <w:t xml:space="preserve">PREVIOUS OBSERVATIONS </w:t>
            </w:r>
            <w:r w:rsidR="009B41C7" w:rsidRPr="00292718">
              <w:rPr>
                <w:b/>
                <w:lang w:val="en-GB"/>
              </w:rPr>
              <w:t xml:space="preserve">&amp; RECOMMENDATIONS GIVEN </w:t>
            </w:r>
            <w:r w:rsidRPr="00292718">
              <w:rPr>
                <w:b/>
                <w:lang w:val="en-GB"/>
              </w:rPr>
              <w:t>ON THE SUBJECT</w:t>
            </w:r>
          </w:p>
        </w:tc>
        <w:tc>
          <w:tcPr>
            <w:tcW w:w="3499" w:type="dxa"/>
            <w:shd w:val="clear" w:color="auto" w:fill="FFC000"/>
          </w:tcPr>
          <w:p w14:paraId="1450A5C0" w14:textId="77777777" w:rsidR="00915E7E" w:rsidRPr="00292718" w:rsidRDefault="009B41C7" w:rsidP="002901AB">
            <w:pPr>
              <w:rPr>
                <w:b/>
                <w:lang w:val="en-GB"/>
              </w:rPr>
            </w:pPr>
            <w:r w:rsidRPr="00292718">
              <w:rPr>
                <w:b/>
                <w:lang w:val="en-GB"/>
              </w:rPr>
              <w:t>RECOMMENDATIONS BY STEs</w:t>
            </w:r>
          </w:p>
        </w:tc>
      </w:tr>
      <w:tr w:rsidR="00915E7E" w:rsidRPr="00292718" w14:paraId="7A43AD0D" w14:textId="77777777" w:rsidTr="002901AB">
        <w:tc>
          <w:tcPr>
            <w:tcW w:w="3498" w:type="dxa"/>
          </w:tcPr>
          <w:p w14:paraId="3D3896F6" w14:textId="10EF4D50" w:rsidR="00915E7E" w:rsidRPr="00292718" w:rsidRDefault="00FD17AA" w:rsidP="002901AB">
            <w:pPr>
              <w:rPr>
                <w:b/>
                <w:i/>
                <w:lang w:val="en-GB"/>
              </w:rPr>
            </w:pPr>
            <w:r w:rsidRPr="00292718">
              <w:rPr>
                <w:b/>
                <w:i/>
                <w:lang w:val="en-GB"/>
              </w:rPr>
              <w:t>1.1 Pol</w:t>
            </w:r>
            <w:r w:rsidR="00D54B28" w:rsidRPr="00292718">
              <w:rPr>
                <w:b/>
                <w:i/>
                <w:lang w:val="en-GB"/>
              </w:rPr>
              <w:t xml:space="preserve">icy for quality assurance </w:t>
            </w:r>
          </w:p>
        </w:tc>
        <w:tc>
          <w:tcPr>
            <w:tcW w:w="3498" w:type="dxa"/>
          </w:tcPr>
          <w:p w14:paraId="60EC331C" w14:textId="77777777" w:rsidR="001123DA" w:rsidRPr="00292718" w:rsidRDefault="004102F2" w:rsidP="001123DA">
            <w:pPr>
              <w:spacing w:before="100" w:beforeAutospacing="1" w:after="100" w:afterAutospacing="1"/>
              <w:rPr>
                <w:lang w:val="en-GB"/>
              </w:rPr>
            </w:pPr>
            <w:r w:rsidRPr="00292718">
              <w:rPr>
                <w:lang w:val="en-GB"/>
              </w:rPr>
              <w:t xml:space="preserve">Implementation of internal quality assurance in HEIs is in the emerging stage. In some institutions, </w:t>
            </w:r>
            <w:r w:rsidR="00DF419D" w:rsidRPr="00292718">
              <w:rPr>
                <w:lang w:val="en-GB"/>
              </w:rPr>
              <w:t xml:space="preserve">QA units </w:t>
            </w:r>
            <w:r w:rsidR="00E36132" w:rsidRPr="00292718">
              <w:rPr>
                <w:lang w:val="en-GB"/>
              </w:rPr>
              <w:t>and a position for a QA manager have been established</w:t>
            </w:r>
            <w:r w:rsidRPr="00292718">
              <w:rPr>
                <w:lang w:val="en-GB"/>
              </w:rPr>
              <w:t>, ISO standards adopted, etc.</w:t>
            </w:r>
          </w:p>
          <w:p w14:paraId="09752EAD" w14:textId="60719329" w:rsidR="00915E7E" w:rsidRPr="00292718" w:rsidRDefault="004102F2" w:rsidP="001123DA">
            <w:pPr>
              <w:spacing w:before="100" w:beforeAutospacing="1" w:after="100" w:afterAutospacing="1"/>
              <w:rPr>
                <w:lang w:val="en-GB"/>
              </w:rPr>
            </w:pPr>
            <w:r w:rsidRPr="00292718">
              <w:rPr>
                <w:lang w:val="en-GB"/>
              </w:rPr>
              <w:t xml:space="preserve">Although there is </w:t>
            </w:r>
            <w:r w:rsidR="00DF419D" w:rsidRPr="00292718">
              <w:rPr>
                <w:lang w:val="en-GB"/>
              </w:rPr>
              <w:t xml:space="preserve">some </w:t>
            </w:r>
            <w:r w:rsidRPr="00292718">
              <w:rPr>
                <w:lang w:val="en-GB"/>
              </w:rPr>
              <w:t xml:space="preserve">evidence of planning and </w:t>
            </w:r>
            <w:r w:rsidR="00DF419D" w:rsidRPr="00292718">
              <w:rPr>
                <w:lang w:val="en-GB"/>
              </w:rPr>
              <w:t xml:space="preserve">action in the institutions, the whole PDCA cycle has not firmly taken root yet. QA structures and processes still need to be </w:t>
            </w:r>
            <w:r w:rsidR="000F1B34" w:rsidRPr="00292718">
              <w:rPr>
                <w:lang w:val="en-GB"/>
              </w:rPr>
              <w:t>discussed and put in place.</w:t>
            </w:r>
          </w:p>
        </w:tc>
        <w:tc>
          <w:tcPr>
            <w:tcW w:w="3499" w:type="dxa"/>
          </w:tcPr>
          <w:p w14:paraId="6F8C6994" w14:textId="77777777" w:rsidR="00915E7E" w:rsidRPr="00292718" w:rsidRDefault="00915E7E" w:rsidP="00456A6A">
            <w:pPr>
              <w:spacing w:before="100" w:beforeAutospacing="1" w:after="100" w:afterAutospacing="1"/>
              <w:rPr>
                <w:color w:val="FFC000"/>
                <w:lang w:val="en-GB"/>
              </w:rPr>
            </w:pPr>
          </w:p>
        </w:tc>
        <w:tc>
          <w:tcPr>
            <w:tcW w:w="3499" w:type="dxa"/>
          </w:tcPr>
          <w:p w14:paraId="78BB3E96" w14:textId="77777777" w:rsidR="00915E7E" w:rsidRPr="00292718" w:rsidRDefault="00E36132" w:rsidP="001123DA">
            <w:pPr>
              <w:pStyle w:val="a8"/>
              <w:numPr>
                <w:ilvl w:val="0"/>
                <w:numId w:val="4"/>
              </w:numPr>
              <w:spacing w:before="100" w:beforeAutospacing="1" w:after="100" w:afterAutospacing="1"/>
              <w:rPr>
                <w:lang w:val="en-GB"/>
              </w:rPr>
            </w:pPr>
            <w:r w:rsidRPr="00292718">
              <w:rPr>
                <w:lang w:val="en-GB"/>
              </w:rPr>
              <w:t>There is need to discuss and have a clearer, common understanding of what internal quality assurance means.</w:t>
            </w:r>
          </w:p>
          <w:p w14:paraId="425CE904" w14:textId="77777777" w:rsidR="00E36132" w:rsidRPr="00292718" w:rsidRDefault="00E36132" w:rsidP="001123DA">
            <w:pPr>
              <w:pStyle w:val="a8"/>
              <w:numPr>
                <w:ilvl w:val="0"/>
                <w:numId w:val="4"/>
              </w:numPr>
              <w:spacing w:before="100" w:beforeAutospacing="1" w:after="100" w:afterAutospacing="1"/>
              <w:rPr>
                <w:lang w:val="en-GB"/>
              </w:rPr>
            </w:pPr>
            <w:r w:rsidRPr="00292718">
              <w:rPr>
                <w:lang w:val="en-GB"/>
              </w:rPr>
              <w:t xml:space="preserve">It would be beneficial for institutions to hear experiences of how HEIs in other countries have </w:t>
            </w:r>
            <w:r w:rsidR="00A2673F" w:rsidRPr="00292718">
              <w:rPr>
                <w:lang w:val="en-GB"/>
              </w:rPr>
              <w:t>built up their in</w:t>
            </w:r>
            <w:r w:rsidR="000F1B34" w:rsidRPr="00292718">
              <w:rPr>
                <w:lang w:val="en-GB"/>
              </w:rPr>
              <w:t>ternal QA systems and processes</w:t>
            </w:r>
            <w:r w:rsidR="00A2673F" w:rsidRPr="00292718">
              <w:rPr>
                <w:lang w:val="en-GB"/>
              </w:rPr>
              <w:t xml:space="preserve"> and learn more about how institutions </w:t>
            </w:r>
            <w:r w:rsidR="000F1B34" w:rsidRPr="00292718">
              <w:rPr>
                <w:lang w:val="en-GB"/>
              </w:rPr>
              <w:t xml:space="preserve"> within the country or internationally </w:t>
            </w:r>
            <w:r w:rsidR="00A2673F" w:rsidRPr="00292718">
              <w:rPr>
                <w:lang w:val="en-GB"/>
              </w:rPr>
              <w:t xml:space="preserve">can collaborate (by sharing </w:t>
            </w:r>
            <w:r w:rsidR="000F1B34" w:rsidRPr="00292718">
              <w:rPr>
                <w:lang w:val="en-GB"/>
              </w:rPr>
              <w:t xml:space="preserve"> experiences, etc.).</w:t>
            </w:r>
          </w:p>
          <w:p w14:paraId="01642748" w14:textId="77777777" w:rsidR="00796550" w:rsidRPr="00292718" w:rsidRDefault="00796550" w:rsidP="001123DA">
            <w:pPr>
              <w:pStyle w:val="a8"/>
              <w:spacing w:before="100" w:beforeAutospacing="1" w:after="100" w:afterAutospacing="1"/>
              <w:ind w:left="360"/>
              <w:rPr>
                <w:lang w:val="en-GB"/>
              </w:rPr>
            </w:pPr>
          </w:p>
        </w:tc>
      </w:tr>
      <w:tr w:rsidR="00915E7E" w:rsidRPr="00292718" w14:paraId="14848648" w14:textId="77777777" w:rsidTr="00456A6A">
        <w:trPr>
          <w:trHeight w:val="3188"/>
        </w:trPr>
        <w:tc>
          <w:tcPr>
            <w:tcW w:w="3498" w:type="dxa"/>
          </w:tcPr>
          <w:p w14:paraId="1152B8E6" w14:textId="66E9C9F1" w:rsidR="00915E7E" w:rsidRPr="00292718" w:rsidRDefault="00FD17AA" w:rsidP="002901AB">
            <w:pPr>
              <w:rPr>
                <w:b/>
                <w:i/>
                <w:lang w:val="en-GB"/>
              </w:rPr>
            </w:pPr>
            <w:r w:rsidRPr="00292718">
              <w:rPr>
                <w:b/>
                <w:i/>
                <w:lang w:val="en-GB"/>
              </w:rPr>
              <w:t>1.2 Design and a</w:t>
            </w:r>
            <w:r w:rsidR="00DF09F1" w:rsidRPr="00292718">
              <w:rPr>
                <w:b/>
                <w:i/>
                <w:lang w:val="en-GB"/>
              </w:rPr>
              <w:t xml:space="preserve">pproval of the programmes </w:t>
            </w:r>
          </w:p>
        </w:tc>
        <w:tc>
          <w:tcPr>
            <w:tcW w:w="3498" w:type="dxa"/>
          </w:tcPr>
          <w:p w14:paraId="6F181EAE" w14:textId="529CEF29" w:rsidR="000F1B34" w:rsidRPr="00292718" w:rsidRDefault="00734209" w:rsidP="00292718">
            <w:pPr>
              <w:spacing w:before="100" w:beforeAutospacing="1" w:after="100" w:afterAutospacing="1"/>
              <w:rPr>
                <w:lang w:val="en-GB"/>
              </w:rPr>
            </w:pPr>
            <w:r w:rsidRPr="00292718">
              <w:rPr>
                <w:lang w:val="en-GB"/>
              </w:rPr>
              <w:t xml:space="preserve">Design of the programmes and curricula follows the state educational standards. Standards are </w:t>
            </w:r>
            <w:r w:rsidR="00D54B28" w:rsidRPr="00292718">
              <w:rPr>
                <w:lang w:val="en-GB"/>
              </w:rPr>
              <w:t xml:space="preserve">discipline-wise. </w:t>
            </w:r>
            <w:r w:rsidR="00292718">
              <w:rPr>
                <w:lang w:val="en-GB"/>
              </w:rPr>
              <w:t>Standards are prepared</w:t>
            </w:r>
            <w:r w:rsidRPr="00292718">
              <w:rPr>
                <w:lang w:val="en-GB"/>
              </w:rPr>
              <w:t xml:space="preserve"> by</w:t>
            </w:r>
            <w:r w:rsidR="00D54B28" w:rsidRPr="00292718">
              <w:rPr>
                <w:lang w:val="en-GB"/>
              </w:rPr>
              <w:t xml:space="preserve"> the expert teams </w:t>
            </w:r>
            <w:r w:rsidRPr="00292718">
              <w:rPr>
                <w:lang w:val="en-GB"/>
              </w:rPr>
              <w:t xml:space="preserve">appointed by the </w:t>
            </w:r>
            <w:proofErr w:type="spellStart"/>
            <w:r w:rsidRPr="00292718">
              <w:rPr>
                <w:lang w:val="en-GB"/>
              </w:rPr>
              <w:t>MoE</w:t>
            </w:r>
            <w:proofErr w:type="spellEnd"/>
            <w:r w:rsidRPr="00292718">
              <w:rPr>
                <w:lang w:val="en-GB"/>
              </w:rPr>
              <w:t>. The teams consist of representatives of the universities i</w:t>
            </w:r>
            <w:r w:rsidR="00DF09F1" w:rsidRPr="00292718">
              <w:rPr>
                <w:lang w:val="en-GB"/>
              </w:rPr>
              <w:t>n the academic discipline.</w:t>
            </w:r>
            <w:r w:rsidR="00D54B28" w:rsidRPr="00292718">
              <w:rPr>
                <w:lang w:val="en-GB"/>
              </w:rPr>
              <w:t xml:space="preserve"> The standards are revised on the regular basis.</w:t>
            </w:r>
            <w:r w:rsidR="00DF09F1" w:rsidRPr="00292718">
              <w:rPr>
                <w:lang w:val="en-GB"/>
              </w:rPr>
              <w:t xml:space="preserve"> </w:t>
            </w:r>
            <w:r w:rsidR="000F1B34" w:rsidRPr="00292718">
              <w:rPr>
                <w:lang w:val="en-GB"/>
              </w:rPr>
              <w:t>At present system HEIs have a limited authority to design and approve the content of their programmes.</w:t>
            </w:r>
          </w:p>
        </w:tc>
        <w:tc>
          <w:tcPr>
            <w:tcW w:w="3499" w:type="dxa"/>
          </w:tcPr>
          <w:p w14:paraId="0B5DE8C8" w14:textId="77777777" w:rsidR="00915E7E" w:rsidRPr="00292718" w:rsidRDefault="00E10F8F" w:rsidP="001123DA">
            <w:pPr>
              <w:spacing w:before="100" w:beforeAutospacing="1" w:after="100" w:afterAutospacing="1"/>
              <w:rPr>
                <w:highlight w:val="lightGray"/>
                <w:lang w:val="en-GB"/>
              </w:rPr>
            </w:pPr>
            <w:r w:rsidRPr="00292718">
              <w:rPr>
                <w:lang w:val="en-GB"/>
              </w:rPr>
              <w:t>Limited autonomy of Azerbaijani HEIs to design their own programmes. Low involvement of students and other stakeholders in the design of programmes. (Output 7)</w:t>
            </w:r>
          </w:p>
        </w:tc>
        <w:tc>
          <w:tcPr>
            <w:tcW w:w="3499" w:type="dxa"/>
            <w:shd w:val="clear" w:color="auto" w:fill="FFFFFF" w:themeFill="background1"/>
          </w:tcPr>
          <w:p w14:paraId="1654C78D" w14:textId="77777777" w:rsidR="005E1EA7" w:rsidRPr="00292718" w:rsidRDefault="000F1B34" w:rsidP="001123DA">
            <w:pPr>
              <w:pStyle w:val="a8"/>
              <w:numPr>
                <w:ilvl w:val="0"/>
                <w:numId w:val="5"/>
              </w:numPr>
              <w:spacing w:before="100" w:beforeAutospacing="1" w:after="100" w:afterAutospacing="1"/>
              <w:rPr>
                <w:lang w:val="en-GB"/>
              </w:rPr>
            </w:pPr>
            <w:r w:rsidRPr="00292718">
              <w:rPr>
                <w:lang w:val="en-GB"/>
              </w:rPr>
              <w:t>HE</w:t>
            </w:r>
            <w:r w:rsidR="00037100" w:rsidRPr="00292718">
              <w:rPr>
                <w:lang w:val="en-GB"/>
              </w:rPr>
              <w:t xml:space="preserve">Is </w:t>
            </w:r>
            <w:r w:rsidRPr="00292718">
              <w:rPr>
                <w:lang w:val="en-GB"/>
              </w:rPr>
              <w:t>need to be given more autonomy to decide on the structure and c</w:t>
            </w:r>
            <w:r w:rsidR="00037100" w:rsidRPr="00292718">
              <w:rPr>
                <w:lang w:val="en-GB"/>
              </w:rPr>
              <w:t>ontent of their curricula. This is crucial in order to allow them to take</w:t>
            </w:r>
            <w:r w:rsidRPr="00292718">
              <w:rPr>
                <w:lang w:val="en-GB"/>
              </w:rPr>
              <w:t xml:space="preserve"> more responsibility and ownership for the </w:t>
            </w:r>
            <w:r w:rsidR="00037100" w:rsidRPr="00292718">
              <w:rPr>
                <w:lang w:val="en-GB"/>
              </w:rPr>
              <w:t>entire study process in the institution.</w:t>
            </w:r>
            <w:r w:rsidR="005E1EA7" w:rsidRPr="00292718">
              <w:rPr>
                <w:lang w:val="en-GB"/>
              </w:rPr>
              <w:br/>
              <w:t xml:space="preserve">Such autonomy will also be conducive to the development of internal QA processes in the institutions. There is a need to find a reasonable balance between control exercised by authorities/the state and the </w:t>
            </w:r>
            <w:r w:rsidR="005E1EA7" w:rsidRPr="00292718">
              <w:rPr>
                <w:lang w:val="en-GB"/>
              </w:rPr>
              <w:lastRenderedPageBreak/>
              <w:t>autonomy given to HEIs with regard to decision-making on institutional level when it comes to study programmes etc. in a way that is both befitting and beneficial for the institutions with regard to the development of quality assurance system, taking into account the Azerbaijani cultural context, values and present circumstance.</w:t>
            </w:r>
          </w:p>
          <w:p w14:paraId="4D782086" w14:textId="77777777" w:rsidR="00037100" w:rsidRPr="00292718" w:rsidRDefault="00037100" w:rsidP="001123DA">
            <w:pPr>
              <w:pStyle w:val="a8"/>
              <w:numPr>
                <w:ilvl w:val="0"/>
                <w:numId w:val="5"/>
              </w:numPr>
              <w:spacing w:before="100" w:beforeAutospacing="1" w:after="100" w:afterAutospacing="1"/>
              <w:rPr>
                <w:lang w:val="en-GB"/>
              </w:rPr>
            </w:pPr>
            <w:r w:rsidRPr="00292718">
              <w:rPr>
                <w:lang w:val="en-GB"/>
              </w:rPr>
              <w:t>External stakeholders and students also need to be involved more closely with the development of study programmes. However, this is complicated in the situation where the decisions regarding programmes are made outside the institution.</w:t>
            </w:r>
          </w:p>
        </w:tc>
      </w:tr>
      <w:tr w:rsidR="00915E7E" w:rsidRPr="00292718" w14:paraId="4A8379C3" w14:textId="77777777" w:rsidTr="002901AB">
        <w:tc>
          <w:tcPr>
            <w:tcW w:w="3498" w:type="dxa"/>
          </w:tcPr>
          <w:p w14:paraId="3B202437" w14:textId="080546B5" w:rsidR="00915E7E" w:rsidRPr="00292718" w:rsidRDefault="00FD17AA" w:rsidP="002901AB">
            <w:pPr>
              <w:rPr>
                <w:b/>
                <w:i/>
                <w:highlight w:val="yellow"/>
                <w:lang w:val="en-GB"/>
              </w:rPr>
            </w:pPr>
            <w:r w:rsidRPr="00292718">
              <w:rPr>
                <w:b/>
                <w:i/>
                <w:lang w:val="en-GB"/>
              </w:rPr>
              <w:lastRenderedPageBreak/>
              <w:t>1.3 Student-centred learning</w:t>
            </w:r>
            <w:r w:rsidR="00DB4BCF" w:rsidRPr="00292718">
              <w:rPr>
                <w:b/>
                <w:i/>
                <w:lang w:val="en-GB"/>
              </w:rPr>
              <w:t xml:space="preserve">, teaching and assessment </w:t>
            </w:r>
          </w:p>
        </w:tc>
        <w:tc>
          <w:tcPr>
            <w:tcW w:w="3498" w:type="dxa"/>
          </w:tcPr>
          <w:p w14:paraId="14F075E5" w14:textId="698FD853" w:rsidR="0006361A" w:rsidRPr="00292718" w:rsidRDefault="00453F69" w:rsidP="001123DA">
            <w:pPr>
              <w:spacing w:before="100" w:beforeAutospacing="1" w:after="100" w:afterAutospacing="1"/>
              <w:rPr>
                <w:lang w:val="en-GB"/>
              </w:rPr>
            </w:pPr>
            <w:r w:rsidRPr="00292718">
              <w:rPr>
                <w:lang w:val="en-GB"/>
              </w:rPr>
              <w:t xml:space="preserve">Teaching process at present time seems to be teacher-centred rather than student-centred. </w:t>
            </w:r>
            <w:r w:rsidR="007B783B" w:rsidRPr="00292718">
              <w:rPr>
                <w:lang w:val="en-GB"/>
              </w:rPr>
              <w:t xml:space="preserve">Only the minority of teachers use innovative, interactive and modern methods and technology in the teaching-learning process, </w:t>
            </w:r>
            <w:r w:rsidR="00BE7D23" w:rsidRPr="00292718">
              <w:rPr>
                <w:lang w:val="en-GB"/>
              </w:rPr>
              <w:t>although the situation has said to be improved con</w:t>
            </w:r>
            <w:r w:rsidR="007B783B" w:rsidRPr="00292718">
              <w:rPr>
                <w:lang w:val="en-GB"/>
              </w:rPr>
              <w:t>siderably during the last years.</w:t>
            </w:r>
          </w:p>
          <w:p w14:paraId="67E7A1B0" w14:textId="35120344" w:rsidR="007B783B" w:rsidRPr="00292718" w:rsidRDefault="00292718" w:rsidP="001123DA">
            <w:pPr>
              <w:spacing w:before="100" w:beforeAutospacing="1" w:after="100" w:afterAutospacing="1"/>
              <w:rPr>
                <w:lang w:val="en-GB"/>
              </w:rPr>
            </w:pPr>
            <w:r>
              <w:rPr>
                <w:lang w:val="en-GB"/>
              </w:rPr>
              <w:t>As informed by students,</w:t>
            </w:r>
            <w:r w:rsidRPr="00292718">
              <w:rPr>
                <w:lang w:val="en-GB"/>
              </w:rPr>
              <w:t xml:space="preserve"> </w:t>
            </w:r>
            <w:r>
              <w:rPr>
                <w:lang w:val="en-GB"/>
              </w:rPr>
              <w:t>t</w:t>
            </w:r>
            <w:r w:rsidR="00BE7D23" w:rsidRPr="00292718">
              <w:rPr>
                <w:lang w:val="en-GB"/>
              </w:rPr>
              <w:t xml:space="preserve">he </w:t>
            </w:r>
            <w:r w:rsidR="007B783B" w:rsidRPr="00292718">
              <w:rPr>
                <w:lang w:val="en-GB"/>
              </w:rPr>
              <w:t xml:space="preserve">main </w:t>
            </w:r>
            <w:r w:rsidR="007B783B" w:rsidRPr="00292718">
              <w:rPr>
                <w:lang w:val="en-GB"/>
              </w:rPr>
              <w:lastRenderedPageBreak/>
              <w:t>methods, in many cases</w:t>
            </w:r>
            <w:r w:rsidR="00BE7D23" w:rsidRPr="00292718">
              <w:rPr>
                <w:lang w:val="en-GB"/>
              </w:rPr>
              <w:t xml:space="preserve"> used by the academic staff are 1) lectures, 2) se</w:t>
            </w:r>
            <w:r>
              <w:rPr>
                <w:lang w:val="en-GB"/>
              </w:rPr>
              <w:t>minars, and 3) report writing.</w:t>
            </w:r>
          </w:p>
          <w:p w14:paraId="3F8E9BC6" w14:textId="49511311" w:rsidR="0006361A" w:rsidRPr="00292718" w:rsidRDefault="003242FB" w:rsidP="001123DA">
            <w:pPr>
              <w:spacing w:before="100" w:beforeAutospacing="1" w:after="100" w:afterAutospacing="1"/>
              <w:rPr>
                <w:lang w:val="en-GB"/>
              </w:rPr>
            </w:pPr>
            <w:r w:rsidRPr="00292718">
              <w:rPr>
                <w:lang w:val="en-GB"/>
              </w:rPr>
              <w:t>The current system does not seem to encourage c</w:t>
            </w:r>
            <w:r w:rsidR="00BE7D23" w:rsidRPr="00292718">
              <w:rPr>
                <w:lang w:val="en-GB"/>
              </w:rPr>
              <w:t>r</w:t>
            </w:r>
            <w:r w:rsidR="00957757" w:rsidRPr="00292718">
              <w:rPr>
                <w:lang w:val="en-GB"/>
              </w:rPr>
              <w:t>itical thinking of students</w:t>
            </w:r>
            <w:r w:rsidR="00C114CF" w:rsidRPr="00292718">
              <w:rPr>
                <w:lang w:val="en-GB"/>
              </w:rPr>
              <w:t xml:space="preserve"> Also, it was mentioned during the meetings that the present-day students are still very much oriented towards the final outcome – receiving good marks, and not so much the study process itself, i.e. taking true ownership of their studies.</w:t>
            </w:r>
          </w:p>
          <w:p w14:paraId="5CFAE04E" w14:textId="2A36CDBC" w:rsidR="007B783B" w:rsidRPr="00292718" w:rsidRDefault="00FF0181" w:rsidP="001123DA">
            <w:pPr>
              <w:spacing w:before="100" w:beforeAutospacing="1" w:after="100" w:afterAutospacing="1"/>
              <w:rPr>
                <w:lang w:val="en-GB"/>
              </w:rPr>
            </w:pPr>
            <w:r w:rsidRPr="00292718">
              <w:rPr>
                <w:lang w:val="en-GB"/>
              </w:rPr>
              <w:t xml:space="preserve">When students are not satisfied with the performance of teachers, they are able to give anonymous feedback on teachers through student surveys carried out in the institution and also turn to the </w:t>
            </w:r>
            <w:r w:rsidR="00292718">
              <w:rPr>
                <w:lang w:val="en-GB"/>
              </w:rPr>
              <w:t>Student Youth Organization</w:t>
            </w:r>
            <w:r w:rsidR="008609BB" w:rsidRPr="00292718">
              <w:rPr>
                <w:lang w:val="en-GB"/>
              </w:rPr>
              <w:t xml:space="preserve"> in their HEI. </w:t>
            </w:r>
            <w:r w:rsidR="00C114CF" w:rsidRPr="00292718">
              <w:rPr>
                <w:lang w:val="en-GB"/>
              </w:rPr>
              <w:t>However, it could not be established whether this happens in all HEIs.</w:t>
            </w:r>
          </w:p>
          <w:p w14:paraId="33948AAD" w14:textId="46554642" w:rsidR="007008B3" w:rsidRPr="00292718" w:rsidRDefault="00FF0181" w:rsidP="001123DA">
            <w:pPr>
              <w:spacing w:before="100" w:beforeAutospacing="1" w:after="100" w:afterAutospacing="1"/>
              <w:rPr>
                <w:highlight w:val="yellow"/>
                <w:lang w:val="en-GB"/>
              </w:rPr>
            </w:pPr>
            <w:r w:rsidRPr="00292718">
              <w:rPr>
                <w:lang w:val="en-GB"/>
              </w:rPr>
              <w:t>The outcome of s</w:t>
            </w:r>
            <w:r w:rsidR="001C51FA" w:rsidRPr="00292718">
              <w:rPr>
                <w:lang w:val="en-GB"/>
              </w:rPr>
              <w:t>tudent assessment</w:t>
            </w:r>
            <w:r w:rsidRPr="00292718">
              <w:rPr>
                <w:lang w:val="en-GB"/>
              </w:rPr>
              <w:t xml:space="preserve"> (grades, achievement of learning outcomes) </w:t>
            </w:r>
            <w:r w:rsidR="001C51FA" w:rsidRPr="00292718">
              <w:rPr>
                <w:lang w:val="en-GB"/>
              </w:rPr>
              <w:t>is given great importance</w:t>
            </w:r>
            <w:r w:rsidR="007B783B" w:rsidRPr="00292718">
              <w:rPr>
                <w:lang w:val="en-GB"/>
              </w:rPr>
              <w:t>.</w:t>
            </w:r>
            <w:r w:rsidR="00EA3EAA" w:rsidRPr="00292718">
              <w:rPr>
                <w:lang w:val="en-GB"/>
              </w:rPr>
              <w:t xml:space="preserve"> The assessment of student’s knowledge is part of accreditation procedure.</w:t>
            </w:r>
          </w:p>
          <w:p w14:paraId="6498D581" w14:textId="77777777" w:rsidR="00B63999" w:rsidRPr="00292718" w:rsidRDefault="00F572D7" w:rsidP="001123DA">
            <w:pPr>
              <w:spacing w:before="100" w:beforeAutospacing="1" w:after="100" w:afterAutospacing="1"/>
              <w:rPr>
                <w:lang w:val="en-GB"/>
              </w:rPr>
            </w:pPr>
            <w:r w:rsidRPr="00292718">
              <w:rPr>
                <w:lang w:val="en-GB"/>
              </w:rPr>
              <w:lastRenderedPageBreak/>
              <w:t>T</w:t>
            </w:r>
            <w:r w:rsidR="00B63999" w:rsidRPr="00292718">
              <w:rPr>
                <w:lang w:val="en-GB"/>
              </w:rPr>
              <w:t xml:space="preserve">ime constraints did not allow </w:t>
            </w:r>
            <w:r w:rsidRPr="00292718">
              <w:rPr>
                <w:lang w:val="en-GB"/>
              </w:rPr>
              <w:t>identifying</w:t>
            </w:r>
            <w:r w:rsidR="00B63999" w:rsidRPr="00292718">
              <w:rPr>
                <w:lang w:val="en-GB"/>
              </w:rPr>
              <w:t xml:space="preserve"> the methods and criteria for testing and examinations of students and establishing whether the HEIs have formal proce</w:t>
            </w:r>
            <w:r w:rsidR="00423FA2" w:rsidRPr="00292718">
              <w:rPr>
                <w:lang w:val="en-GB"/>
              </w:rPr>
              <w:t xml:space="preserve">dures in place </w:t>
            </w:r>
            <w:r w:rsidR="00B63999" w:rsidRPr="00292718">
              <w:rPr>
                <w:lang w:val="en-GB"/>
              </w:rPr>
              <w:t>regarding assessment</w:t>
            </w:r>
            <w:r w:rsidR="00423FA2" w:rsidRPr="00292718">
              <w:rPr>
                <w:lang w:val="en-GB"/>
              </w:rPr>
              <w:t xml:space="preserve"> and</w:t>
            </w:r>
            <w:r w:rsidR="00B63999" w:rsidRPr="00292718">
              <w:rPr>
                <w:lang w:val="en-GB"/>
              </w:rPr>
              <w:t xml:space="preserve"> student complaints.</w:t>
            </w:r>
          </w:p>
          <w:p w14:paraId="56439AB7" w14:textId="77777777" w:rsidR="007008B3" w:rsidRPr="00292718" w:rsidRDefault="007008B3" w:rsidP="001123DA">
            <w:pPr>
              <w:spacing w:before="100" w:beforeAutospacing="1" w:after="100" w:afterAutospacing="1"/>
              <w:rPr>
                <w:lang w:val="en-GB"/>
              </w:rPr>
            </w:pPr>
          </w:p>
        </w:tc>
        <w:tc>
          <w:tcPr>
            <w:tcW w:w="3499" w:type="dxa"/>
          </w:tcPr>
          <w:p w14:paraId="7A934B0C" w14:textId="77777777" w:rsidR="00915E7E" w:rsidRPr="00292718" w:rsidRDefault="00E10F8F" w:rsidP="001123DA">
            <w:pPr>
              <w:spacing w:before="100" w:beforeAutospacing="1" w:after="100" w:afterAutospacing="1"/>
              <w:rPr>
                <w:color w:val="FFC000"/>
                <w:lang w:val="en-GB"/>
              </w:rPr>
            </w:pPr>
            <w:r w:rsidRPr="00292718">
              <w:rPr>
                <w:lang w:val="en-GB"/>
              </w:rPr>
              <w:lastRenderedPageBreak/>
              <w:t>Variety of teaching/learning methods. Variety and relevance of students’ assessment to be reviewed as the emphasis placed on knowledge testing. (Output 7)</w:t>
            </w:r>
          </w:p>
        </w:tc>
        <w:tc>
          <w:tcPr>
            <w:tcW w:w="3499" w:type="dxa"/>
          </w:tcPr>
          <w:p w14:paraId="7FB31320" w14:textId="77777777" w:rsidR="007B783B" w:rsidRPr="00292718" w:rsidRDefault="0048001F" w:rsidP="001123DA">
            <w:pPr>
              <w:pStyle w:val="a8"/>
              <w:numPr>
                <w:ilvl w:val="0"/>
                <w:numId w:val="2"/>
              </w:numPr>
              <w:spacing w:before="100" w:beforeAutospacing="1" w:after="100" w:afterAutospacing="1"/>
              <w:rPr>
                <w:lang w:val="en-GB"/>
              </w:rPr>
            </w:pPr>
            <w:r w:rsidRPr="00292718">
              <w:rPr>
                <w:lang w:val="en-GB"/>
              </w:rPr>
              <w:t xml:space="preserve">More </w:t>
            </w:r>
            <w:r w:rsidR="0059011F" w:rsidRPr="00292718">
              <w:rPr>
                <w:lang w:val="en-GB"/>
              </w:rPr>
              <w:t>attention</w:t>
            </w:r>
            <w:r w:rsidRPr="00292718">
              <w:rPr>
                <w:lang w:val="en-GB"/>
              </w:rPr>
              <w:t xml:space="preserve"> </w:t>
            </w:r>
            <w:r w:rsidR="00424F94" w:rsidRPr="00292718">
              <w:rPr>
                <w:lang w:val="en-GB"/>
              </w:rPr>
              <w:t>needs</w:t>
            </w:r>
            <w:r w:rsidR="007B783B" w:rsidRPr="00292718">
              <w:rPr>
                <w:lang w:val="en-GB"/>
              </w:rPr>
              <w:t xml:space="preserve"> to be </w:t>
            </w:r>
            <w:r w:rsidR="0059011F" w:rsidRPr="00292718">
              <w:rPr>
                <w:lang w:val="en-GB"/>
              </w:rPr>
              <w:t>given</w:t>
            </w:r>
            <w:r w:rsidR="007B783B" w:rsidRPr="00292718">
              <w:rPr>
                <w:lang w:val="en-GB"/>
              </w:rPr>
              <w:t xml:space="preserve"> </w:t>
            </w:r>
            <w:r w:rsidR="00627D88" w:rsidRPr="00292718">
              <w:rPr>
                <w:lang w:val="en-GB"/>
              </w:rPr>
              <w:t>to</w:t>
            </w:r>
            <w:r w:rsidRPr="00292718">
              <w:rPr>
                <w:lang w:val="en-GB"/>
              </w:rPr>
              <w:t xml:space="preserve"> the i</w:t>
            </w:r>
            <w:r w:rsidR="00554AD6" w:rsidRPr="00292718">
              <w:rPr>
                <w:lang w:val="en-GB"/>
              </w:rPr>
              <w:t>nclusion of modern and interactive teaching methods in the teaching-learning process.</w:t>
            </w:r>
          </w:p>
          <w:p w14:paraId="13F1B7ED" w14:textId="77777777" w:rsidR="00554AD6" w:rsidRPr="00292718" w:rsidRDefault="007B783B" w:rsidP="001123DA">
            <w:pPr>
              <w:pStyle w:val="a8"/>
              <w:numPr>
                <w:ilvl w:val="0"/>
                <w:numId w:val="2"/>
              </w:numPr>
              <w:spacing w:before="100" w:beforeAutospacing="1" w:after="100" w:afterAutospacing="1"/>
              <w:rPr>
                <w:lang w:val="en-GB"/>
              </w:rPr>
            </w:pPr>
            <w:r w:rsidRPr="00292718">
              <w:rPr>
                <w:lang w:val="en-GB"/>
              </w:rPr>
              <w:t xml:space="preserve">In order for students to take an active role for their learning process, it necessitates more openness in communication between teachers and students, willingness to learn on part of </w:t>
            </w:r>
            <w:r w:rsidRPr="00292718">
              <w:rPr>
                <w:lang w:val="en-GB"/>
              </w:rPr>
              <w:lastRenderedPageBreak/>
              <w:t>the teaching staff, experiment and try out the new, give students to carry out much more independent work (incl. encouraging students to use the libraries) and help students to acquire the knowledge of how to conduct research.</w:t>
            </w:r>
          </w:p>
          <w:p w14:paraId="3B29B7F8" w14:textId="137F655D" w:rsidR="00EA3EAA" w:rsidRPr="00292718" w:rsidRDefault="00EA3EAA" w:rsidP="001123DA">
            <w:pPr>
              <w:pStyle w:val="a8"/>
              <w:numPr>
                <w:ilvl w:val="0"/>
                <w:numId w:val="2"/>
              </w:numPr>
              <w:spacing w:before="100" w:beforeAutospacing="1" w:after="100" w:afterAutospacing="1"/>
              <w:rPr>
                <w:lang w:val="en-GB"/>
              </w:rPr>
            </w:pPr>
            <w:r w:rsidRPr="00292718">
              <w:rPr>
                <w:lang w:val="en-GB"/>
              </w:rPr>
              <w:t>Very much e</w:t>
            </w:r>
            <w:r w:rsidR="00DB4BCF" w:rsidRPr="00292718">
              <w:rPr>
                <w:lang w:val="en-GB"/>
              </w:rPr>
              <w:t>mphasis is placed on achieved</w:t>
            </w:r>
            <w:r w:rsidRPr="00292718">
              <w:rPr>
                <w:lang w:val="en-GB"/>
              </w:rPr>
              <w:t xml:space="preserve"> learning outcomes (student assessment).</w:t>
            </w:r>
            <w:r w:rsidR="00292718">
              <w:rPr>
                <w:lang w:val="en-GB"/>
              </w:rPr>
              <w:t xml:space="preserve"> </w:t>
            </w:r>
            <w:r w:rsidR="00E10F8F" w:rsidRPr="00292718">
              <w:rPr>
                <w:lang w:val="en-GB"/>
              </w:rPr>
              <w:t>I</w:t>
            </w:r>
            <w:r w:rsidRPr="00292718">
              <w:rPr>
                <w:lang w:val="en-GB"/>
              </w:rPr>
              <w:t>t is equally vital to assess the skills and competences that have been acquired during the learning process.</w:t>
            </w:r>
            <w:r w:rsidR="00FF10A9" w:rsidRPr="00292718">
              <w:rPr>
                <w:lang w:val="en-GB"/>
              </w:rPr>
              <w:t xml:space="preserve"> It was mentioned during the interviews how students are only oriented towards getting good grades and not in the learning process itself. Yet, the present teaching-learning practices and the accreditation system only seem to reinforce such student behaviour.</w:t>
            </w:r>
          </w:p>
        </w:tc>
      </w:tr>
      <w:tr w:rsidR="00915E7E" w:rsidRPr="00292718" w14:paraId="036592AC" w14:textId="77777777" w:rsidTr="002901AB">
        <w:tc>
          <w:tcPr>
            <w:tcW w:w="3498" w:type="dxa"/>
          </w:tcPr>
          <w:p w14:paraId="30E3116C" w14:textId="764B42D1" w:rsidR="00915E7E" w:rsidRPr="00292718" w:rsidRDefault="00FD17AA" w:rsidP="002901AB">
            <w:pPr>
              <w:rPr>
                <w:b/>
                <w:i/>
                <w:lang w:val="en-GB"/>
              </w:rPr>
            </w:pPr>
            <w:r w:rsidRPr="00292718">
              <w:rPr>
                <w:b/>
                <w:i/>
                <w:lang w:val="en-GB"/>
              </w:rPr>
              <w:lastRenderedPageBreak/>
              <w:t>1.4 Student admission, progression, reco</w:t>
            </w:r>
            <w:r w:rsidR="00DB4BCF" w:rsidRPr="00292718">
              <w:rPr>
                <w:b/>
                <w:i/>
                <w:lang w:val="en-GB"/>
              </w:rPr>
              <w:t xml:space="preserve">gnition and certification </w:t>
            </w:r>
          </w:p>
        </w:tc>
        <w:tc>
          <w:tcPr>
            <w:tcW w:w="3498" w:type="dxa"/>
          </w:tcPr>
          <w:p w14:paraId="7554D046" w14:textId="20E5D4D0" w:rsidR="00F83E26" w:rsidRPr="00292718" w:rsidRDefault="00CE0220" w:rsidP="001123DA">
            <w:pPr>
              <w:spacing w:before="100" w:beforeAutospacing="1" w:after="100" w:afterAutospacing="1"/>
              <w:rPr>
                <w:lang w:val="en-GB"/>
              </w:rPr>
            </w:pPr>
            <w:r w:rsidRPr="00292718">
              <w:rPr>
                <w:lang w:val="en-GB"/>
              </w:rPr>
              <w:t>Admission is organised centrally for all who want to enter a higher education institution by Central State Admission Committee. HEIs do not have the autonomy to choose their students</w:t>
            </w:r>
            <w:r w:rsidR="00F83E26" w:rsidRPr="00292718">
              <w:rPr>
                <w:lang w:val="en-GB"/>
              </w:rPr>
              <w:t>.</w:t>
            </w:r>
            <w:r w:rsidR="00DB4BCF" w:rsidRPr="00292718">
              <w:rPr>
                <w:lang w:val="en-GB"/>
              </w:rPr>
              <w:t xml:space="preserve"> According to the interviews students’ progression is followed</w:t>
            </w:r>
            <w:r w:rsidR="00B66BA8" w:rsidRPr="00292718">
              <w:rPr>
                <w:lang w:val="en-GB"/>
              </w:rPr>
              <w:t xml:space="preserve"> by the professors</w:t>
            </w:r>
            <w:r w:rsidR="00DB4BCF" w:rsidRPr="00292718">
              <w:rPr>
                <w:lang w:val="en-GB"/>
              </w:rPr>
              <w:t xml:space="preserve"> primarily by number of credits achieved and </w:t>
            </w:r>
            <w:r w:rsidR="00B66BA8" w:rsidRPr="00292718">
              <w:rPr>
                <w:lang w:val="en-GB"/>
              </w:rPr>
              <w:t xml:space="preserve">grades earned. </w:t>
            </w:r>
            <w:r w:rsidR="00DB4BCF" w:rsidRPr="00292718">
              <w:rPr>
                <w:lang w:val="en-GB"/>
              </w:rPr>
              <w:t xml:space="preserve"> Peer tutors (senior students) seem to be in a remarkable role offering guidance for the </w:t>
            </w:r>
            <w:r w:rsidR="00B66BA8" w:rsidRPr="00292718">
              <w:rPr>
                <w:lang w:val="en-GB"/>
              </w:rPr>
              <w:t>other st</w:t>
            </w:r>
            <w:r w:rsidR="009F23D3" w:rsidRPr="00292718">
              <w:rPr>
                <w:lang w:val="en-GB"/>
              </w:rPr>
              <w:t>udents. Certification is regulated on the state-level.</w:t>
            </w:r>
          </w:p>
        </w:tc>
        <w:tc>
          <w:tcPr>
            <w:tcW w:w="3499" w:type="dxa"/>
          </w:tcPr>
          <w:p w14:paraId="51C70C5C" w14:textId="5A7CBE9D" w:rsidR="00915E7E" w:rsidRPr="00292718" w:rsidRDefault="00B66BA8" w:rsidP="001123DA">
            <w:pPr>
              <w:spacing w:before="100" w:beforeAutospacing="1" w:after="100" w:afterAutospacing="1"/>
              <w:rPr>
                <w:lang w:val="en-GB"/>
              </w:rPr>
            </w:pPr>
            <w:r w:rsidRPr="00292718">
              <w:rPr>
                <w:lang w:val="en-GB"/>
              </w:rPr>
              <w:t>No evidence on the</w:t>
            </w:r>
            <w:r w:rsidR="00013633" w:rsidRPr="00292718">
              <w:rPr>
                <w:lang w:val="en-GB"/>
              </w:rPr>
              <w:t xml:space="preserve"> regulation on or</w:t>
            </w:r>
            <w:r w:rsidRPr="00292718">
              <w:rPr>
                <w:lang w:val="en-GB"/>
              </w:rPr>
              <w:t xml:space="preserve"> functioning</w:t>
            </w:r>
            <w:r w:rsidR="00013633" w:rsidRPr="00292718">
              <w:rPr>
                <w:lang w:val="en-GB"/>
              </w:rPr>
              <w:t xml:space="preserve"> of</w:t>
            </w:r>
            <w:r w:rsidRPr="00292718">
              <w:rPr>
                <w:lang w:val="en-GB"/>
              </w:rPr>
              <w:t xml:space="preserve"> recognition of prior learning</w:t>
            </w:r>
            <w:r w:rsidR="006900D2" w:rsidRPr="00292718">
              <w:rPr>
                <w:lang w:val="en-GB"/>
              </w:rPr>
              <w:t xml:space="preserve"> (Output 7)</w:t>
            </w:r>
          </w:p>
        </w:tc>
        <w:tc>
          <w:tcPr>
            <w:tcW w:w="3499" w:type="dxa"/>
          </w:tcPr>
          <w:p w14:paraId="5C31F3DF" w14:textId="232C932D" w:rsidR="00915E7E" w:rsidRPr="00292718" w:rsidRDefault="00ED2655" w:rsidP="00AD5464">
            <w:pPr>
              <w:pStyle w:val="a8"/>
              <w:numPr>
                <w:ilvl w:val="0"/>
                <w:numId w:val="15"/>
              </w:numPr>
              <w:spacing w:before="100" w:beforeAutospacing="1" w:after="100" w:afterAutospacing="1"/>
              <w:rPr>
                <w:lang w:val="en-GB"/>
              </w:rPr>
            </w:pPr>
            <w:r w:rsidRPr="00292718">
              <w:rPr>
                <w:lang w:val="en-GB"/>
              </w:rPr>
              <w:t xml:space="preserve">Systematic </w:t>
            </w:r>
            <w:r w:rsidR="00AD5464">
              <w:rPr>
                <w:lang w:val="en-GB"/>
              </w:rPr>
              <w:t>collection</w:t>
            </w:r>
            <w:r w:rsidRPr="00292718">
              <w:rPr>
                <w:lang w:val="en-GB"/>
              </w:rPr>
              <w:t xml:space="preserve"> and use of data on students’ progress is usually seen as a necessary part </w:t>
            </w:r>
            <w:r w:rsidR="001123DA" w:rsidRPr="00292718">
              <w:rPr>
                <w:lang w:val="en-GB"/>
              </w:rPr>
              <w:t>of</w:t>
            </w:r>
            <w:r w:rsidR="00CD4821" w:rsidRPr="00292718">
              <w:rPr>
                <w:lang w:val="en-GB"/>
              </w:rPr>
              <w:t xml:space="preserve"> internal quality assurance systems</w:t>
            </w:r>
            <w:r w:rsidR="001123DA" w:rsidRPr="00292718">
              <w:rPr>
                <w:lang w:val="en-GB"/>
              </w:rPr>
              <w:t xml:space="preserve"> of HEIs</w:t>
            </w:r>
            <w:r w:rsidR="00CD4821" w:rsidRPr="00292718">
              <w:rPr>
                <w:lang w:val="en-GB"/>
              </w:rPr>
              <w:t xml:space="preserve">. </w:t>
            </w:r>
            <w:r w:rsidR="00013633" w:rsidRPr="00292718">
              <w:rPr>
                <w:lang w:val="en-GB"/>
              </w:rPr>
              <w:t>It is recommended to focus on this when building up the institutional quality assurance systems.</w:t>
            </w:r>
          </w:p>
        </w:tc>
      </w:tr>
      <w:tr w:rsidR="00915E7E" w:rsidRPr="00292718" w14:paraId="5AFDC205" w14:textId="77777777" w:rsidTr="002901AB">
        <w:tc>
          <w:tcPr>
            <w:tcW w:w="3498" w:type="dxa"/>
          </w:tcPr>
          <w:p w14:paraId="6AB89019" w14:textId="36E947F9" w:rsidR="00915E7E" w:rsidRPr="00292718" w:rsidRDefault="0017750B" w:rsidP="002901AB">
            <w:pPr>
              <w:rPr>
                <w:b/>
                <w:i/>
                <w:lang w:val="en-GB"/>
              </w:rPr>
            </w:pPr>
            <w:r w:rsidRPr="00292718">
              <w:rPr>
                <w:b/>
                <w:i/>
                <w:lang w:val="en-GB"/>
              </w:rPr>
              <w:t xml:space="preserve">1.5 Teaching staff </w:t>
            </w:r>
          </w:p>
        </w:tc>
        <w:tc>
          <w:tcPr>
            <w:tcW w:w="3498" w:type="dxa"/>
          </w:tcPr>
          <w:p w14:paraId="457CF117" w14:textId="188BFB70" w:rsidR="00915E7E" w:rsidRPr="00292718" w:rsidRDefault="00C25CBA" w:rsidP="001123DA">
            <w:pPr>
              <w:spacing w:before="100" w:beforeAutospacing="1" w:after="100" w:afterAutospacing="1"/>
              <w:rPr>
                <w:lang w:val="en-GB"/>
              </w:rPr>
            </w:pPr>
            <w:r w:rsidRPr="00292718">
              <w:rPr>
                <w:lang w:val="en-GB"/>
              </w:rPr>
              <w:t>The recruitment of university staff (teachers) takes place through public competition open for all HEIs. Dec</w:t>
            </w:r>
            <w:r w:rsidR="00C43FD7" w:rsidRPr="00292718">
              <w:rPr>
                <w:lang w:val="en-GB"/>
              </w:rPr>
              <w:t xml:space="preserve">isions regarding recruitment are </w:t>
            </w:r>
            <w:r w:rsidRPr="00292718">
              <w:rPr>
                <w:lang w:val="en-GB"/>
              </w:rPr>
              <w:t xml:space="preserve">made </w:t>
            </w:r>
            <w:r w:rsidR="00AD5464">
              <w:rPr>
                <w:lang w:val="en-GB"/>
              </w:rPr>
              <w:t>at</w:t>
            </w:r>
            <w:r w:rsidRPr="00292718">
              <w:rPr>
                <w:lang w:val="en-GB"/>
              </w:rPr>
              <w:t xml:space="preserve"> the </w:t>
            </w:r>
            <w:r w:rsidR="00C43FD7" w:rsidRPr="00292718">
              <w:rPr>
                <w:lang w:val="en-GB"/>
              </w:rPr>
              <w:t xml:space="preserve">level of the institution. </w:t>
            </w:r>
          </w:p>
          <w:p w14:paraId="6539C94F" w14:textId="77777777" w:rsidR="006972A0" w:rsidRPr="00292718" w:rsidRDefault="00C43FD7" w:rsidP="001123DA">
            <w:pPr>
              <w:spacing w:before="100" w:beforeAutospacing="1" w:after="100" w:afterAutospacing="1"/>
              <w:rPr>
                <w:color w:val="FF0000"/>
                <w:lang w:val="en-GB"/>
              </w:rPr>
            </w:pPr>
            <w:r w:rsidRPr="00292718">
              <w:rPr>
                <w:lang w:val="en-GB"/>
              </w:rPr>
              <w:t xml:space="preserve">The development of academic staff is the responsibility of each institution. </w:t>
            </w:r>
            <w:r w:rsidRPr="00292718">
              <w:rPr>
                <w:color w:val="FF0000"/>
                <w:lang w:val="en-GB"/>
              </w:rPr>
              <w:t xml:space="preserve"> </w:t>
            </w:r>
          </w:p>
          <w:p w14:paraId="74ECC040" w14:textId="77777777" w:rsidR="00C43FD7" w:rsidRPr="00292718" w:rsidRDefault="00C43FD7" w:rsidP="001123DA">
            <w:pPr>
              <w:spacing w:before="100" w:beforeAutospacing="1" w:after="100" w:afterAutospacing="1"/>
              <w:rPr>
                <w:lang w:val="en-GB"/>
              </w:rPr>
            </w:pPr>
            <w:r w:rsidRPr="00292718">
              <w:rPr>
                <w:lang w:val="en-GB"/>
              </w:rPr>
              <w:lastRenderedPageBreak/>
              <w:t xml:space="preserve">By law, the recruitment procedure for chairs of departments and deans of faculties differ from other staff: candidates are submitted to a special </w:t>
            </w:r>
            <w:r w:rsidR="006972A0" w:rsidRPr="00292718">
              <w:rPr>
                <w:lang w:val="en-GB"/>
              </w:rPr>
              <w:t>“</w:t>
            </w:r>
            <w:r w:rsidRPr="00292718">
              <w:rPr>
                <w:lang w:val="en-GB"/>
              </w:rPr>
              <w:t>search committee</w:t>
            </w:r>
            <w:r w:rsidR="006972A0" w:rsidRPr="00292718">
              <w:rPr>
                <w:lang w:val="en-GB"/>
              </w:rPr>
              <w:t>”</w:t>
            </w:r>
            <w:r w:rsidRPr="00292718">
              <w:rPr>
                <w:lang w:val="en-GB"/>
              </w:rPr>
              <w:t xml:space="preserve">; the committee proposes at least two names/candidates to the rector, and the rector makes the final decision. </w:t>
            </w:r>
          </w:p>
          <w:p w14:paraId="39984E50" w14:textId="77777777" w:rsidR="00C43FD7" w:rsidRPr="00292718" w:rsidRDefault="00185F30" w:rsidP="001123DA">
            <w:pPr>
              <w:spacing w:before="100" w:beforeAutospacing="1" w:after="100" w:afterAutospacing="1"/>
              <w:rPr>
                <w:lang w:val="en-GB"/>
              </w:rPr>
            </w:pPr>
            <w:r w:rsidRPr="00292718">
              <w:rPr>
                <w:lang w:val="en-GB"/>
              </w:rPr>
              <w:t xml:space="preserve">During interviews, the importance of qualified staff was emphasised by the universities as well as </w:t>
            </w:r>
            <w:proofErr w:type="spellStart"/>
            <w:r w:rsidRPr="00292718">
              <w:rPr>
                <w:lang w:val="en-GB"/>
              </w:rPr>
              <w:t>MoE</w:t>
            </w:r>
            <w:proofErr w:type="spellEnd"/>
            <w:r w:rsidRPr="00292718">
              <w:rPr>
                <w:lang w:val="en-GB"/>
              </w:rPr>
              <w:t xml:space="preserve">. It is considered that good results in teaching-learning process very much depend on the highly qualified academic staff. </w:t>
            </w:r>
          </w:p>
        </w:tc>
        <w:tc>
          <w:tcPr>
            <w:tcW w:w="3499" w:type="dxa"/>
          </w:tcPr>
          <w:p w14:paraId="23011EAB" w14:textId="77777777" w:rsidR="00915E7E" w:rsidRPr="00292718" w:rsidRDefault="002312C2" w:rsidP="001123DA">
            <w:pPr>
              <w:spacing w:before="100" w:beforeAutospacing="1" w:after="100" w:afterAutospacing="1"/>
              <w:rPr>
                <w:color w:val="FFC000"/>
                <w:lang w:val="en-GB"/>
              </w:rPr>
            </w:pPr>
            <w:r w:rsidRPr="00292718">
              <w:rPr>
                <w:lang w:val="en-GB"/>
              </w:rPr>
              <w:lastRenderedPageBreak/>
              <w:t xml:space="preserve">This standard of ESG has been most positively assessed in Output 7 and regarded as strength. </w:t>
            </w:r>
          </w:p>
        </w:tc>
        <w:tc>
          <w:tcPr>
            <w:tcW w:w="3499" w:type="dxa"/>
          </w:tcPr>
          <w:p w14:paraId="7D024429" w14:textId="77777777" w:rsidR="00915E7E" w:rsidRPr="00292718" w:rsidRDefault="00915E7E" w:rsidP="001123DA">
            <w:pPr>
              <w:pStyle w:val="a8"/>
              <w:spacing w:before="100" w:beforeAutospacing="1" w:after="100" w:afterAutospacing="1"/>
              <w:ind w:left="360"/>
              <w:rPr>
                <w:lang w:val="en-GB"/>
              </w:rPr>
            </w:pPr>
          </w:p>
        </w:tc>
      </w:tr>
      <w:tr w:rsidR="00915E7E" w:rsidRPr="00292718" w14:paraId="59658534" w14:textId="77777777" w:rsidTr="002901AB">
        <w:tc>
          <w:tcPr>
            <w:tcW w:w="3498" w:type="dxa"/>
          </w:tcPr>
          <w:p w14:paraId="54090DA9" w14:textId="75CB3B8A" w:rsidR="00915E7E" w:rsidRPr="00292718" w:rsidRDefault="00FD17AA" w:rsidP="002901AB">
            <w:pPr>
              <w:rPr>
                <w:b/>
                <w:i/>
                <w:lang w:val="en-GB"/>
              </w:rPr>
            </w:pPr>
            <w:r w:rsidRPr="00292718">
              <w:rPr>
                <w:b/>
                <w:i/>
                <w:lang w:val="en-GB"/>
              </w:rPr>
              <w:lastRenderedPageBreak/>
              <w:t>1.6 Learning reso</w:t>
            </w:r>
            <w:r w:rsidR="006900D2" w:rsidRPr="00292718">
              <w:rPr>
                <w:b/>
                <w:i/>
                <w:lang w:val="en-GB"/>
              </w:rPr>
              <w:t xml:space="preserve">urces and student support </w:t>
            </w:r>
          </w:p>
        </w:tc>
        <w:tc>
          <w:tcPr>
            <w:tcW w:w="3498" w:type="dxa"/>
          </w:tcPr>
          <w:p w14:paraId="7A5DF00C" w14:textId="3EB510F1" w:rsidR="00915E7E" w:rsidRPr="00292718" w:rsidRDefault="006900D2" w:rsidP="001123DA">
            <w:pPr>
              <w:spacing w:before="100" w:beforeAutospacing="1" w:after="100" w:afterAutospacing="1"/>
              <w:rPr>
                <w:lang w:val="en-GB"/>
              </w:rPr>
            </w:pPr>
            <w:r w:rsidRPr="00292718">
              <w:rPr>
                <w:lang w:val="en-GB"/>
              </w:rPr>
              <w:t>Learning infrastructure is evaluated as a part of the accreditation process. Textbooks and other study material created by teaching staff seem to play an essential role when assessing teachers’ success in his/her work.</w:t>
            </w:r>
          </w:p>
        </w:tc>
        <w:tc>
          <w:tcPr>
            <w:tcW w:w="3499" w:type="dxa"/>
          </w:tcPr>
          <w:p w14:paraId="00CEEC88" w14:textId="77777777" w:rsidR="00915E7E" w:rsidRPr="00292718" w:rsidRDefault="00915E7E" w:rsidP="001123DA">
            <w:pPr>
              <w:spacing w:before="100" w:beforeAutospacing="1" w:after="100" w:afterAutospacing="1"/>
              <w:rPr>
                <w:color w:val="FFC000"/>
                <w:lang w:val="en-GB"/>
              </w:rPr>
            </w:pPr>
          </w:p>
        </w:tc>
        <w:tc>
          <w:tcPr>
            <w:tcW w:w="3499" w:type="dxa"/>
          </w:tcPr>
          <w:p w14:paraId="1D54CDBD" w14:textId="77777777" w:rsidR="00915E7E" w:rsidRPr="00292718" w:rsidRDefault="00915E7E" w:rsidP="001123DA">
            <w:pPr>
              <w:spacing w:before="100" w:beforeAutospacing="1" w:after="100" w:afterAutospacing="1"/>
              <w:rPr>
                <w:lang w:val="en-GB"/>
              </w:rPr>
            </w:pPr>
          </w:p>
        </w:tc>
      </w:tr>
      <w:tr w:rsidR="00915E7E" w:rsidRPr="00292718" w14:paraId="19ECD313" w14:textId="77777777" w:rsidTr="002901AB">
        <w:tc>
          <w:tcPr>
            <w:tcW w:w="3498" w:type="dxa"/>
          </w:tcPr>
          <w:p w14:paraId="26B4146A" w14:textId="1B210E87" w:rsidR="00915E7E" w:rsidRPr="00292718" w:rsidRDefault="00FD17AA" w:rsidP="002901AB">
            <w:pPr>
              <w:rPr>
                <w:b/>
                <w:i/>
                <w:lang w:val="en-GB"/>
              </w:rPr>
            </w:pPr>
            <w:r w:rsidRPr="00292718">
              <w:rPr>
                <w:b/>
                <w:i/>
                <w:lang w:val="en-GB"/>
              </w:rPr>
              <w:t>1</w:t>
            </w:r>
            <w:r w:rsidR="00FE273C" w:rsidRPr="00292718">
              <w:rPr>
                <w:b/>
                <w:i/>
                <w:lang w:val="en-GB"/>
              </w:rPr>
              <w:t xml:space="preserve">.7 Information management </w:t>
            </w:r>
          </w:p>
        </w:tc>
        <w:tc>
          <w:tcPr>
            <w:tcW w:w="3498" w:type="dxa"/>
          </w:tcPr>
          <w:p w14:paraId="657FF3AF" w14:textId="38C4EFC2" w:rsidR="00915E7E" w:rsidRPr="00292718" w:rsidRDefault="00FE273C" w:rsidP="001123DA">
            <w:pPr>
              <w:spacing w:before="100" w:beforeAutospacing="1" w:after="100" w:afterAutospacing="1"/>
              <w:rPr>
                <w:lang w:val="en-GB"/>
              </w:rPr>
            </w:pPr>
            <w:r w:rsidRPr="00292718">
              <w:rPr>
                <w:lang w:val="en-GB"/>
              </w:rPr>
              <w:t xml:space="preserve">According to Output 7 performance indicators are widely used, yet their scope and accuracy is not clear. </w:t>
            </w:r>
            <w:r w:rsidR="00013633" w:rsidRPr="00292718">
              <w:rPr>
                <w:lang w:val="en-GB"/>
              </w:rPr>
              <w:t xml:space="preserve">There feedback systems </w:t>
            </w:r>
            <w:r w:rsidR="00AD5464">
              <w:rPr>
                <w:lang w:val="en-GB"/>
              </w:rPr>
              <w:t xml:space="preserve">are </w:t>
            </w:r>
            <w:r w:rsidR="00013633" w:rsidRPr="00292718">
              <w:rPr>
                <w:lang w:val="en-GB"/>
              </w:rPr>
              <w:t xml:space="preserve">in place at the institutional level, usually for students. </w:t>
            </w:r>
          </w:p>
        </w:tc>
        <w:tc>
          <w:tcPr>
            <w:tcW w:w="3499" w:type="dxa"/>
          </w:tcPr>
          <w:p w14:paraId="78B45DDB" w14:textId="4D39AD94" w:rsidR="00915E7E" w:rsidRPr="00292718" w:rsidRDefault="00013633" w:rsidP="001123DA">
            <w:pPr>
              <w:spacing w:before="100" w:beforeAutospacing="1" w:after="100" w:afterAutospacing="1"/>
              <w:rPr>
                <w:lang w:val="en-GB"/>
              </w:rPr>
            </w:pPr>
            <w:r w:rsidRPr="00292718">
              <w:rPr>
                <w:lang w:val="en-GB"/>
              </w:rPr>
              <w:t>Detailed questions regarding the data used indicated potential gaps in data on/from alumni, employers, in some cases students’ and staff feedback</w:t>
            </w:r>
            <w:r w:rsidR="00AD5464">
              <w:rPr>
                <w:lang w:val="en-GB"/>
              </w:rPr>
              <w:t>.</w:t>
            </w:r>
            <w:r w:rsidRPr="00292718">
              <w:rPr>
                <w:lang w:val="en-GB"/>
              </w:rPr>
              <w:t xml:space="preserve"> (Output 7)</w:t>
            </w:r>
          </w:p>
        </w:tc>
        <w:tc>
          <w:tcPr>
            <w:tcW w:w="3499" w:type="dxa"/>
          </w:tcPr>
          <w:p w14:paraId="3A81A03B" w14:textId="68B13579" w:rsidR="00915E7E" w:rsidRPr="00292718" w:rsidRDefault="00013633" w:rsidP="001123DA">
            <w:pPr>
              <w:pStyle w:val="a8"/>
              <w:numPr>
                <w:ilvl w:val="0"/>
                <w:numId w:val="18"/>
              </w:numPr>
              <w:spacing w:before="100" w:beforeAutospacing="1" w:after="100" w:afterAutospacing="1"/>
              <w:rPr>
                <w:lang w:val="en-GB"/>
              </w:rPr>
            </w:pPr>
            <w:r w:rsidRPr="00292718">
              <w:rPr>
                <w:lang w:val="en-GB"/>
              </w:rPr>
              <w:t>Feedback gathered and used on the level of institutions should cover staff, students, graduates/alumni, employers.</w:t>
            </w:r>
          </w:p>
        </w:tc>
      </w:tr>
      <w:tr w:rsidR="00915E7E" w:rsidRPr="00292718" w14:paraId="147360A4" w14:textId="77777777" w:rsidTr="002901AB">
        <w:tc>
          <w:tcPr>
            <w:tcW w:w="3498" w:type="dxa"/>
          </w:tcPr>
          <w:p w14:paraId="2D6A3900" w14:textId="2E3E48B2" w:rsidR="00915E7E" w:rsidRPr="00292718" w:rsidRDefault="00FE273C" w:rsidP="002901AB">
            <w:pPr>
              <w:rPr>
                <w:b/>
                <w:i/>
                <w:lang w:val="en-GB"/>
              </w:rPr>
            </w:pPr>
            <w:r w:rsidRPr="00292718">
              <w:rPr>
                <w:b/>
                <w:i/>
                <w:lang w:val="en-GB"/>
              </w:rPr>
              <w:t xml:space="preserve">1.8 Public information </w:t>
            </w:r>
          </w:p>
        </w:tc>
        <w:tc>
          <w:tcPr>
            <w:tcW w:w="3498" w:type="dxa"/>
          </w:tcPr>
          <w:p w14:paraId="5F197836" w14:textId="6DBA7323" w:rsidR="00915E7E" w:rsidRPr="00292718" w:rsidRDefault="00FE273C" w:rsidP="001123DA">
            <w:pPr>
              <w:spacing w:before="100" w:beforeAutospacing="1" w:after="100" w:afterAutospacing="1"/>
              <w:rPr>
                <w:lang w:val="en-GB"/>
              </w:rPr>
            </w:pPr>
            <w:r w:rsidRPr="00292718">
              <w:rPr>
                <w:lang w:val="en-GB"/>
              </w:rPr>
              <w:t xml:space="preserve">In Output 7 this is seen as one of the strengths within the Azerbaijani HEIs. It seems that sufficient information is available on the </w:t>
            </w:r>
            <w:r w:rsidRPr="00292718">
              <w:rPr>
                <w:lang w:val="en-GB"/>
              </w:rPr>
              <w:lastRenderedPageBreak/>
              <w:t xml:space="preserve">activities of universities, including the programmes. However, according to the interviews it is not common to publish the results of the self-evaluation. </w:t>
            </w:r>
          </w:p>
        </w:tc>
        <w:tc>
          <w:tcPr>
            <w:tcW w:w="3499" w:type="dxa"/>
          </w:tcPr>
          <w:p w14:paraId="6F2586D5" w14:textId="6F8B357F" w:rsidR="00915E7E" w:rsidRPr="00292718" w:rsidRDefault="00FE273C" w:rsidP="001123DA">
            <w:pPr>
              <w:spacing w:before="100" w:beforeAutospacing="1" w:after="100" w:afterAutospacing="1"/>
              <w:rPr>
                <w:lang w:val="en-GB"/>
              </w:rPr>
            </w:pPr>
            <w:r w:rsidRPr="00292718">
              <w:rPr>
                <w:lang w:val="en-GB"/>
              </w:rPr>
              <w:lastRenderedPageBreak/>
              <w:t>Highest score in Output 7 survey.</w:t>
            </w:r>
          </w:p>
        </w:tc>
        <w:tc>
          <w:tcPr>
            <w:tcW w:w="3499" w:type="dxa"/>
          </w:tcPr>
          <w:p w14:paraId="0DB283B5" w14:textId="77777777" w:rsidR="00915E7E" w:rsidRPr="00292718" w:rsidRDefault="00915E7E" w:rsidP="001123DA">
            <w:pPr>
              <w:spacing w:before="100" w:beforeAutospacing="1" w:after="100" w:afterAutospacing="1"/>
              <w:rPr>
                <w:lang w:val="en-GB"/>
              </w:rPr>
            </w:pPr>
          </w:p>
        </w:tc>
      </w:tr>
      <w:tr w:rsidR="00915E7E" w:rsidRPr="00292718" w14:paraId="1BAF443D" w14:textId="77777777" w:rsidTr="002901AB">
        <w:tc>
          <w:tcPr>
            <w:tcW w:w="3498" w:type="dxa"/>
          </w:tcPr>
          <w:p w14:paraId="294F3BA9" w14:textId="7D06E4D4" w:rsidR="00915E7E" w:rsidRPr="00292718" w:rsidRDefault="00FD17AA" w:rsidP="002901AB">
            <w:pPr>
              <w:rPr>
                <w:b/>
                <w:i/>
                <w:lang w:val="en-GB"/>
              </w:rPr>
            </w:pPr>
            <w:r w:rsidRPr="00292718">
              <w:rPr>
                <w:b/>
                <w:i/>
                <w:lang w:val="en-GB"/>
              </w:rPr>
              <w:lastRenderedPageBreak/>
              <w:t xml:space="preserve">1.9 On-going monitoring and periodic review </w:t>
            </w:r>
            <w:r w:rsidR="00013633" w:rsidRPr="00292718">
              <w:rPr>
                <w:b/>
                <w:i/>
                <w:lang w:val="en-GB"/>
              </w:rPr>
              <w:t xml:space="preserve">of the </w:t>
            </w:r>
            <w:r w:rsidR="001123DA" w:rsidRPr="00292718">
              <w:rPr>
                <w:b/>
                <w:i/>
                <w:lang w:val="en-GB"/>
              </w:rPr>
              <w:t xml:space="preserve">programmes </w:t>
            </w:r>
          </w:p>
        </w:tc>
        <w:tc>
          <w:tcPr>
            <w:tcW w:w="3498" w:type="dxa"/>
          </w:tcPr>
          <w:p w14:paraId="5FB09231" w14:textId="79A66E97" w:rsidR="00B9024A" w:rsidRPr="00292718" w:rsidRDefault="00B9024A" w:rsidP="001123DA">
            <w:pPr>
              <w:spacing w:before="100" w:beforeAutospacing="1" w:after="100" w:afterAutospacing="1"/>
              <w:rPr>
                <w:lang w:val="en-GB"/>
              </w:rPr>
            </w:pPr>
            <w:r w:rsidRPr="00292718">
              <w:rPr>
                <w:lang w:val="en-GB"/>
              </w:rPr>
              <w:t xml:space="preserve">HEIs have limited academic freedom regarding the design and content of the study programmes and teaching process, which are largely covered by centralized documentation and regulations. Such limitations inhibit institutions to take full ownership and responsibility for innovative design and content and perhaps also </w:t>
            </w:r>
            <w:r w:rsidR="00E3071C" w:rsidRPr="00292718">
              <w:rPr>
                <w:lang w:val="en-GB"/>
              </w:rPr>
              <w:t>take a more active role in communicating their needs to the labour market, since too much is decided on higher levels of authority.</w:t>
            </w:r>
            <w:r w:rsidR="000B32CE" w:rsidRPr="00292718">
              <w:rPr>
                <w:lang w:val="en-GB"/>
              </w:rPr>
              <w:t xml:space="preserve"> However, current accreditation functions as a form of periodic review, but in the sphere of external quality assurance.</w:t>
            </w:r>
          </w:p>
          <w:p w14:paraId="13E54CCD" w14:textId="77777777" w:rsidR="00E3071C" w:rsidRPr="00292718" w:rsidRDefault="00E3071C" w:rsidP="001123DA">
            <w:pPr>
              <w:spacing w:before="100" w:beforeAutospacing="1" w:after="100" w:afterAutospacing="1"/>
              <w:rPr>
                <w:lang w:val="en-GB"/>
              </w:rPr>
            </w:pPr>
          </w:p>
        </w:tc>
        <w:tc>
          <w:tcPr>
            <w:tcW w:w="3499" w:type="dxa"/>
          </w:tcPr>
          <w:p w14:paraId="5EC016A2" w14:textId="77777777" w:rsidR="00915E7E" w:rsidRPr="00292718" w:rsidRDefault="00FF10A9" w:rsidP="001123DA">
            <w:pPr>
              <w:spacing w:before="100" w:beforeAutospacing="1" w:after="100" w:afterAutospacing="1"/>
              <w:rPr>
                <w:color w:val="FFC000"/>
                <w:lang w:val="en-GB"/>
              </w:rPr>
            </w:pPr>
            <w:r w:rsidRPr="00292718">
              <w:rPr>
                <w:lang w:val="en-GB"/>
              </w:rPr>
              <w:t>Limited autonomy of innovation of programmes. Insufficient communication with stakeholders.</w:t>
            </w:r>
          </w:p>
        </w:tc>
        <w:tc>
          <w:tcPr>
            <w:tcW w:w="3499" w:type="dxa"/>
          </w:tcPr>
          <w:p w14:paraId="0A312D9B" w14:textId="77777777" w:rsidR="00915E7E" w:rsidRPr="00292718" w:rsidRDefault="00F16CF2" w:rsidP="001123DA">
            <w:pPr>
              <w:pStyle w:val="a8"/>
              <w:numPr>
                <w:ilvl w:val="0"/>
                <w:numId w:val="13"/>
              </w:numPr>
              <w:spacing w:before="100" w:beforeAutospacing="1" w:after="100" w:afterAutospacing="1"/>
              <w:rPr>
                <w:lang w:val="en-GB"/>
              </w:rPr>
            </w:pPr>
            <w:r w:rsidRPr="00292718">
              <w:rPr>
                <w:lang w:val="en-GB"/>
              </w:rPr>
              <w:t xml:space="preserve">Involvement of external stakeholders in the regular review of the content of </w:t>
            </w:r>
            <w:r w:rsidR="00CE0220" w:rsidRPr="00292718">
              <w:rPr>
                <w:lang w:val="en-GB"/>
              </w:rPr>
              <w:t>curricula</w:t>
            </w:r>
            <w:r w:rsidRPr="00292718">
              <w:rPr>
                <w:lang w:val="en-GB"/>
              </w:rPr>
              <w:t xml:space="preserve"> provided that HEIs are given the necessary freedom to design their own progra</w:t>
            </w:r>
            <w:r w:rsidR="00CE0220" w:rsidRPr="00292718">
              <w:rPr>
                <w:lang w:val="en-GB"/>
              </w:rPr>
              <w:t>mmes in accordance with their specific mission.</w:t>
            </w:r>
            <w:r w:rsidRPr="00292718">
              <w:rPr>
                <w:lang w:val="en-GB"/>
              </w:rPr>
              <w:t xml:space="preserve"> </w:t>
            </w:r>
          </w:p>
        </w:tc>
      </w:tr>
      <w:tr w:rsidR="00915E7E" w:rsidRPr="00292718" w14:paraId="3EA53645" w14:textId="77777777" w:rsidTr="002901AB">
        <w:tc>
          <w:tcPr>
            <w:tcW w:w="3498" w:type="dxa"/>
          </w:tcPr>
          <w:p w14:paraId="2DD9A317" w14:textId="6C510E10" w:rsidR="00915E7E" w:rsidRPr="00292718" w:rsidRDefault="009B1EC1" w:rsidP="002901AB">
            <w:pPr>
              <w:rPr>
                <w:b/>
                <w:i/>
                <w:lang w:val="en-GB"/>
              </w:rPr>
            </w:pPr>
            <w:r w:rsidRPr="00292718">
              <w:rPr>
                <w:b/>
                <w:i/>
                <w:lang w:val="en-GB"/>
              </w:rPr>
              <w:t>1.10 Cyclical e</w:t>
            </w:r>
            <w:r w:rsidR="000B32CE" w:rsidRPr="00292718">
              <w:rPr>
                <w:b/>
                <w:i/>
                <w:lang w:val="en-GB"/>
              </w:rPr>
              <w:t xml:space="preserve">xternal quality assurance </w:t>
            </w:r>
          </w:p>
        </w:tc>
        <w:tc>
          <w:tcPr>
            <w:tcW w:w="3498" w:type="dxa"/>
          </w:tcPr>
          <w:p w14:paraId="11527569" w14:textId="77777777" w:rsidR="00915E7E" w:rsidRPr="00292718" w:rsidRDefault="007622EF" w:rsidP="001123DA">
            <w:pPr>
              <w:spacing w:before="100" w:beforeAutospacing="1" w:after="100" w:afterAutospacing="1"/>
              <w:rPr>
                <w:lang w:val="en-GB"/>
              </w:rPr>
            </w:pPr>
            <w:r w:rsidRPr="00292718">
              <w:rPr>
                <w:lang w:val="en-GB"/>
              </w:rPr>
              <w:t xml:space="preserve">All HEIs in Azerbaijan, regardless of their legal and organizational form, undergo periodical external assessment (accreditation) once in every 5 years (and every 3 years in case an institution has been established by foreigners and/or persons without citizenship; foreign legal entities) by the Ministry of </w:t>
            </w:r>
            <w:r w:rsidRPr="00292718">
              <w:rPr>
                <w:lang w:val="en-GB"/>
              </w:rPr>
              <w:lastRenderedPageBreak/>
              <w:t>Education.</w:t>
            </w:r>
            <w:r w:rsidR="000C5FC1" w:rsidRPr="00292718">
              <w:rPr>
                <w:lang w:val="en-GB"/>
              </w:rPr>
              <w:t xml:space="preserve"> Accreditation process involves both institutional and programme accreditation.</w:t>
            </w:r>
          </w:p>
        </w:tc>
        <w:tc>
          <w:tcPr>
            <w:tcW w:w="3499" w:type="dxa"/>
          </w:tcPr>
          <w:p w14:paraId="236EFEA2" w14:textId="77777777" w:rsidR="00915E7E" w:rsidRPr="00292718" w:rsidRDefault="002312C2" w:rsidP="001123DA">
            <w:pPr>
              <w:spacing w:before="100" w:beforeAutospacing="1" w:after="100" w:afterAutospacing="1"/>
              <w:rPr>
                <w:color w:val="FFC000"/>
                <w:lang w:val="en-GB"/>
              </w:rPr>
            </w:pPr>
            <w:r w:rsidRPr="00292718">
              <w:rPr>
                <w:lang w:val="en-GB"/>
              </w:rPr>
              <w:lastRenderedPageBreak/>
              <w:t>The universities have been critical with regard to the relevance and complexity of the picture provided by quality assurance/accreditation.</w:t>
            </w:r>
          </w:p>
        </w:tc>
        <w:tc>
          <w:tcPr>
            <w:tcW w:w="3499" w:type="dxa"/>
          </w:tcPr>
          <w:p w14:paraId="1215D3A9" w14:textId="2570314F" w:rsidR="00915E7E" w:rsidRPr="00292718" w:rsidRDefault="000C5FC1" w:rsidP="001123DA">
            <w:pPr>
              <w:pStyle w:val="a8"/>
              <w:numPr>
                <w:ilvl w:val="0"/>
                <w:numId w:val="13"/>
              </w:numPr>
              <w:spacing w:before="100" w:beforeAutospacing="1" w:after="100" w:afterAutospacing="1"/>
              <w:rPr>
                <w:lang w:val="en-GB"/>
              </w:rPr>
            </w:pPr>
            <w:r w:rsidRPr="00292718">
              <w:rPr>
                <w:lang w:val="en-GB"/>
              </w:rPr>
              <w:t xml:space="preserve">The current system of accreditation that attempts to cover the entire institutional assessment as well as the review of all the study programmes in the institution is very ambitions and needs to be revisited. The accreditation process is extensive for the </w:t>
            </w:r>
            <w:r w:rsidRPr="00292718">
              <w:rPr>
                <w:lang w:val="en-GB"/>
              </w:rPr>
              <w:lastRenderedPageBreak/>
              <w:t xml:space="preserve">institution and the accreditation commission and </w:t>
            </w:r>
            <w:r w:rsidR="00A94A2D" w:rsidRPr="00292718">
              <w:rPr>
                <w:lang w:val="en-GB"/>
              </w:rPr>
              <w:t>the resu</w:t>
            </w:r>
            <w:r w:rsidR="001123DA" w:rsidRPr="00292718">
              <w:rPr>
                <w:lang w:val="en-GB"/>
              </w:rPr>
              <w:t>lts of</w:t>
            </w:r>
            <w:r w:rsidR="00A94A2D" w:rsidRPr="00292718">
              <w:rPr>
                <w:lang w:val="en-GB"/>
              </w:rPr>
              <w:t xml:space="preserve"> two different types of assessments depend on one single assessment committee.</w:t>
            </w:r>
          </w:p>
          <w:p w14:paraId="6A65A8C6" w14:textId="77777777" w:rsidR="001123DA" w:rsidRPr="00292718" w:rsidRDefault="001123DA" w:rsidP="001123DA">
            <w:pPr>
              <w:pStyle w:val="a8"/>
              <w:spacing w:before="100" w:beforeAutospacing="1" w:after="100" w:afterAutospacing="1"/>
              <w:ind w:left="360"/>
              <w:rPr>
                <w:lang w:val="en-GB"/>
              </w:rPr>
            </w:pPr>
          </w:p>
          <w:p w14:paraId="742B5D3F" w14:textId="77777777" w:rsidR="001123DA" w:rsidRPr="00292718" w:rsidRDefault="001123DA" w:rsidP="001123DA">
            <w:pPr>
              <w:pStyle w:val="a8"/>
              <w:spacing w:before="100" w:beforeAutospacing="1" w:after="100" w:afterAutospacing="1"/>
              <w:ind w:left="360"/>
              <w:rPr>
                <w:lang w:val="en-GB"/>
              </w:rPr>
            </w:pPr>
          </w:p>
        </w:tc>
      </w:tr>
      <w:tr w:rsidR="009B41C7" w:rsidRPr="00292718" w14:paraId="05F91C9E" w14:textId="77777777" w:rsidTr="002901AB">
        <w:tc>
          <w:tcPr>
            <w:tcW w:w="3498" w:type="dxa"/>
            <w:shd w:val="clear" w:color="auto" w:fill="00B0F0"/>
          </w:tcPr>
          <w:p w14:paraId="631FBC9F" w14:textId="77777777" w:rsidR="009B41C7" w:rsidRPr="00292718" w:rsidRDefault="00812863" w:rsidP="002901AB">
            <w:pPr>
              <w:rPr>
                <w:b/>
                <w:i/>
                <w:lang w:val="en-GB"/>
              </w:rPr>
            </w:pPr>
            <w:r w:rsidRPr="00292718">
              <w:rPr>
                <w:b/>
                <w:i/>
                <w:lang w:val="en-GB"/>
              </w:rPr>
              <w:lastRenderedPageBreak/>
              <w:t>ESG PART 2</w:t>
            </w:r>
          </w:p>
          <w:p w14:paraId="53940B82" w14:textId="77777777" w:rsidR="009B1EC1" w:rsidRPr="00292718" w:rsidRDefault="009B1EC1" w:rsidP="002901AB">
            <w:pPr>
              <w:rPr>
                <w:b/>
                <w:i/>
                <w:lang w:val="en-GB"/>
              </w:rPr>
            </w:pPr>
            <w:r w:rsidRPr="00292718">
              <w:rPr>
                <w:b/>
                <w:i/>
                <w:lang w:val="en-GB"/>
              </w:rPr>
              <w:t>STANDARDS AND GUIDELINES</w:t>
            </w:r>
            <w:r w:rsidR="00A81CF7" w:rsidRPr="00292718">
              <w:rPr>
                <w:b/>
                <w:i/>
                <w:lang w:val="en-GB"/>
              </w:rPr>
              <w:t xml:space="preserve"> FOR EXTERNAL QUALITY ASSURANCE</w:t>
            </w:r>
          </w:p>
        </w:tc>
        <w:tc>
          <w:tcPr>
            <w:tcW w:w="3498" w:type="dxa"/>
            <w:shd w:val="clear" w:color="auto" w:fill="00B0F0"/>
          </w:tcPr>
          <w:p w14:paraId="718A5BB5" w14:textId="77777777" w:rsidR="009B41C7" w:rsidRPr="00292718" w:rsidRDefault="009B41C7" w:rsidP="001123DA">
            <w:pPr>
              <w:spacing w:before="100" w:beforeAutospacing="1" w:after="100" w:afterAutospacing="1"/>
              <w:rPr>
                <w:b/>
                <w:lang w:val="en-GB"/>
              </w:rPr>
            </w:pPr>
            <w:r w:rsidRPr="00292718">
              <w:rPr>
                <w:b/>
                <w:lang w:val="en-GB"/>
              </w:rPr>
              <w:t>CURRENT STATE OF AFFAIRS IN AZERBAIJAN</w:t>
            </w:r>
          </w:p>
        </w:tc>
        <w:tc>
          <w:tcPr>
            <w:tcW w:w="3499" w:type="dxa"/>
            <w:shd w:val="clear" w:color="auto" w:fill="00B0F0"/>
          </w:tcPr>
          <w:p w14:paraId="63ED14A8" w14:textId="77777777" w:rsidR="009B41C7" w:rsidRPr="00292718" w:rsidRDefault="009B41C7" w:rsidP="001123DA">
            <w:pPr>
              <w:spacing w:before="100" w:beforeAutospacing="1" w:after="100" w:afterAutospacing="1"/>
              <w:rPr>
                <w:color w:val="FFC000"/>
                <w:lang w:val="en-GB"/>
              </w:rPr>
            </w:pPr>
            <w:r w:rsidRPr="00292718">
              <w:rPr>
                <w:b/>
                <w:lang w:val="en-GB"/>
              </w:rPr>
              <w:t>PREVIOUS OBSERVATIONS DONE &amp;  RECOMMENDATIONS GIVEN ON THE SUBJECT</w:t>
            </w:r>
          </w:p>
        </w:tc>
        <w:tc>
          <w:tcPr>
            <w:tcW w:w="3499" w:type="dxa"/>
            <w:shd w:val="clear" w:color="auto" w:fill="00B0F0"/>
          </w:tcPr>
          <w:p w14:paraId="193E4C12" w14:textId="77777777" w:rsidR="009B41C7" w:rsidRPr="00292718" w:rsidRDefault="009B41C7" w:rsidP="001123DA">
            <w:pPr>
              <w:spacing w:before="100" w:beforeAutospacing="1" w:after="100" w:afterAutospacing="1"/>
              <w:rPr>
                <w:lang w:val="en-GB"/>
              </w:rPr>
            </w:pPr>
            <w:r w:rsidRPr="00292718">
              <w:rPr>
                <w:b/>
                <w:lang w:val="en-GB"/>
              </w:rPr>
              <w:t>RECOMMENDATIONS BY STEs</w:t>
            </w:r>
          </w:p>
        </w:tc>
      </w:tr>
      <w:tr w:rsidR="009B41C7" w:rsidRPr="00292718" w14:paraId="0AE48A7F" w14:textId="77777777" w:rsidTr="001123DA">
        <w:tc>
          <w:tcPr>
            <w:tcW w:w="3498" w:type="dxa"/>
          </w:tcPr>
          <w:p w14:paraId="40CB9737" w14:textId="3F0ABFE3" w:rsidR="009B41C7" w:rsidRPr="00292718" w:rsidRDefault="009B1EC1" w:rsidP="001C58B6">
            <w:pPr>
              <w:rPr>
                <w:b/>
                <w:i/>
                <w:lang w:val="en-GB"/>
              </w:rPr>
            </w:pPr>
            <w:r w:rsidRPr="00292718">
              <w:rPr>
                <w:b/>
                <w:i/>
                <w:lang w:val="en-GB"/>
              </w:rPr>
              <w:t xml:space="preserve">2.1 Consideration of </w:t>
            </w:r>
            <w:r w:rsidR="001C58B6" w:rsidRPr="00292718">
              <w:rPr>
                <w:b/>
                <w:i/>
                <w:lang w:val="en-GB"/>
              </w:rPr>
              <w:t>internal</w:t>
            </w:r>
            <w:r w:rsidR="00386E80" w:rsidRPr="00292718">
              <w:rPr>
                <w:b/>
                <w:i/>
                <w:lang w:val="en-GB"/>
              </w:rPr>
              <w:t xml:space="preserve"> quality assurance </w:t>
            </w:r>
          </w:p>
        </w:tc>
        <w:tc>
          <w:tcPr>
            <w:tcW w:w="3498" w:type="dxa"/>
          </w:tcPr>
          <w:p w14:paraId="5D74ED33" w14:textId="30D1EFD7" w:rsidR="009B41C7" w:rsidRPr="00292718" w:rsidRDefault="000B32CE" w:rsidP="00E21DF6">
            <w:pPr>
              <w:spacing w:before="100" w:beforeAutospacing="1" w:after="100" w:afterAutospacing="1"/>
              <w:rPr>
                <w:lang w:val="en-GB"/>
              </w:rPr>
            </w:pPr>
            <w:r w:rsidRPr="00292718">
              <w:rPr>
                <w:lang w:val="en-GB"/>
              </w:rPr>
              <w:t xml:space="preserve">Current accreditation criteria </w:t>
            </w:r>
            <w:r w:rsidR="00E21DF6" w:rsidRPr="00292718">
              <w:rPr>
                <w:lang w:val="en-GB"/>
              </w:rPr>
              <w:t>do</w:t>
            </w:r>
            <w:r w:rsidRPr="00292718">
              <w:rPr>
                <w:lang w:val="en-GB"/>
              </w:rPr>
              <w:t xml:space="preserve"> not directly address the </w:t>
            </w:r>
            <w:r w:rsidR="00E21DF6" w:rsidRPr="00292718">
              <w:rPr>
                <w:lang w:val="en-GB"/>
              </w:rPr>
              <w:t xml:space="preserve">processes related to internal quality assurance or assess their </w:t>
            </w:r>
            <w:r w:rsidRPr="00292718">
              <w:rPr>
                <w:lang w:val="en-GB"/>
              </w:rPr>
              <w:t xml:space="preserve">effectiveness </w:t>
            </w:r>
          </w:p>
        </w:tc>
        <w:tc>
          <w:tcPr>
            <w:tcW w:w="3499" w:type="dxa"/>
          </w:tcPr>
          <w:p w14:paraId="69BC9DA8" w14:textId="4C69C017" w:rsidR="009B41C7" w:rsidRPr="00292718" w:rsidRDefault="00EF07DC" w:rsidP="00B16466">
            <w:pPr>
              <w:spacing w:before="100" w:beforeAutospacing="1" w:after="100" w:afterAutospacing="1"/>
              <w:rPr>
                <w:color w:val="FFC000"/>
                <w:lang w:val="en-GB"/>
              </w:rPr>
            </w:pPr>
            <w:r>
              <w:rPr>
                <w:lang w:val="en-GB"/>
              </w:rPr>
              <w:t>Not all parts</w:t>
            </w:r>
            <w:r w:rsidR="000B32CE" w:rsidRPr="00292718">
              <w:rPr>
                <w:lang w:val="en-GB"/>
              </w:rPr>
              <w:t xml:space="preserve"> </w:t>
            </w:r>
            <w:r w:rsidR="00386E80" w:rsidRPr="00292718">
              <w:rPr>
                <w:lang w:val="en-GB"/>
              </w:rPr>
              <w:t>of institutions’ system</w:t>
            </w:r>
            <w:r w:rsidR="00B16466">
              <w:rPr>
                <w:lang w:val="en-GB"/>
              </w:rPr>
              <w:t>s</w:t>
            </w:r>
            <w:r w:rsidR="00386E80" w:rsidRPr="00292718">
              <w:rPr>
                <w:lang w:val="en-GB"/>
              </w:rPr>
              <w:t xml:space="preserve"> </w:t>
            </w:r>
            <w:r w:rsidR="00B16466">
              <w:rPr>
                <w:lang w:val="en-GB"/>
              </w:rPr>
              <w:t>are</w:t>
            </w:r>
            <w:r w:rsidR="00386E80" w:rsidRPr="00292718">
              <w:rPr>
                <w:lang w:val="en-GB"/>
              </w:rPr>
              <w:t xml:space="preserve"> included</w:t>
            </w:r>
            <w:r w:rsidR="00B16466">
              <w:rPr>
                <w:lang w:val="en-GB"/>
              </w:rPr>
              <w:t xml:space="preserve"> and assessed</w:t>
            </w:r>
            <w:r w:rsidR="00386E80" w:rsidRPr="00292718">
              <w:rPr>
                <w:lang w:val="en-GB"/>
              </w:rPr>
              <w:t xml:space="preserve"> in the accreditation </w:t>
            </w:r>
            <w:r w:rsidR="00B16466">
              <w:rPr>
                <w:lang w:val="en-GB"/>
              </w:rPr>
              <w:t xml:space="preserve">process (e.g., </w:t>
            </w:r>
            <w:r w:rsidR="00386E80" w:rsidRPr="00292718">
              <w:rPr>
                <w:lang w:val="en-GB"/>
              </w:rPr>
              <w:t>strategy, process mapping, feedback, evidence and da</w:t>
            </w:r>
            <w:r w:rsidR="00F163EE">
              <w:rPr>
                <w:lang w:val="en-GB"/>
              </w:rPr>
              <w:t>ta use, information management</w:t>
            </w:r>
            <w:r w:rsidR="00B16466">
              <w:rPr>
                <w:lang w:val="en-GB"/>
              </w:rPr>
              <w:t>).</w:t>
            </w:r>
            <w:r w:rsidR="00386E80" w:rsidRPr="00292718">
              <w:rPr>
                <w:lang w:val="en-GB"/>
              </w:rPr>
              <w:t xml:space="preserve"> (Output 7)</w:t>
            </w:r>
          </w:p>
        </w:tc>
        <w:tc>
          <w:tcPr>
            <w:tcW w:w="3499" w:type="dxa"/>
          </w:tcPr>
          <w:p w14:paraId="7E39EF0A" w14:textId="77777777" w:rsidR="009B41C7" w:rsidRPr="00292718" w:rsidRDefault="000B32CE" w:rsidP="001123DA">
            <w:pPr>
              <w:pStyle w:val="a8"/>
              <w:numPr>
                <w:ilvl w:val="0"/>
                <w:numId w:val="13"/>
              </w:numPr>
              <w:spacing w:before="100" w:beforeAutospacing="1" w:after="100" w:afterAutospacing="1"/>
              <w:rPr>
                <w:lang w:val="en-GB"/>
              </w:rPr>
            </w:pPr>
            <w:r w:rsidRPr="00292718">
              <w:rPr>
                <w:lang w:val="en-GB"/>
              </w:rPr>
              <w:t>It is recommended to clarify in the state-level regulations whether the HEIs are required to have an internal quality assurance system.</w:t>
            </w:r>
          </w:p>
          <w:p w14:paraId="03F937F6" w14:textId="2F3EDBD2" w:rsidR="000B32CE" w:rsidRPr="00292718" w:rsidRDefault="000B32CE" w:rsidP="00EF07DC">
            <w:pPr>
              <w:pStyle w:val="a8"/>
              <w:numPr>
                <w:ilvl w:val="0"/>
                <w:numId w:val="13"/>
              </w:numPr>
              <w:spacing w:before="100" w:beforeAutospacing="1" w:after="100" w:afterAutospacing="1"/>
              <w:rPr>
                <w:lang w:val="en-GB"/>
              </w:rPr>
            </w:pPr>
            <w:r w:rsidRPr="00292718">
              <w:rPr>
                <w:lang w:val="en-GB"/>
              </w:rPr>
              <w:t xml:space="preserve">It is also recommended to leave some flexibility for the HEIs </w:t>
            </w:r>
            <w:r w:rsidR="00EF07DC">
              <w:rPr>
                <w:lang w:val="en-GB"/>
              </w:rPr>
              <w:t>at</w:t>
            </w:r>
            <w:r w:rsidR="00EF07DC" w:rsidRPr="00292718">
              <w:rPr>
                <w:lang w:val="en-GB"/>
              </w:rPr>
              <w:t xml:space="preserve"> the level of a single institution </w:t>
            </w:r>
            <w:r w:rsidRPr="00292718">
              <w:rPr>
                <w:lang w:val="en-GB"/>
              </w:rPr>
              <w:t>to define the structure and processes included in the internal quality assurance system.</w:t>
            </w:r>
          </w:p>
        </w:tc>
      </w:tr>
      <w:tr w:rsidR="009B41C7" w:rsidRPr="00292718" w14:paraId="3D0CAB65" w14:textId="77777777" w:rsidTr="001123DA">
        <w:tc>
          <w:tcPr>
            <w:tcW w:w="3498" w:type="dxa"/>
          </w:tcPr>
          <w:p w14:paraId="7CA1F177" w14:textId="62AA1561" w:rsidR="009B41C7" w:rsidRPr="00292718" w:rsidRDefault="009B1EC1" w:rsidP="002901AB">
            <w:pPr>
              <w:rPr>
                <w:b/>
                <w:i/>
                <w:highlight w:val="yellow"/>
                <w:lang w:val="en-GB"/>
              </w:rPr>
            </w:pPr>
            <w:r w:rsidRPr="00292718">
              <w:rPr>
                <w:b/>
                <w:i/>
                <w:lang w:val="en-GB"/>
              </w:rPr>
              <w:t>2.2 Designing meth</w:t>
            </w:r>
            <w:r w:rsidR="00F042CE" w:rsidRPr="00292718">
              <w:rPr>
                <w:b/>
                <w:i/>
                <w:lang w:val="en-GB"/>
              </w:rPr>
              <w:t xml:space="preserve">odologies fit for purpose </w:t>
            </w:r>
          </w:p>
        </w:tc>
        <w:tc>
          <w:tcPr>
            <w:tcW w:w="3498" w:type="dxa"/>
          </w:tcPr>
          <w:p w14:paraId="418F133F" w14:textId="358FD310" w:rsidR="00560430" w:rsidRPr="00292718" w:rsidRDefault="00BB0110" w:rsidP="001123DA">
            <w:pPr>
              <w:spacing w:before="100" w:beforeAutospacing="1" w:after="100" w:afterAutospacing="1"/>
              <w:rPr>
                <w:lang w:val="en-GB"/>
              </w:rPr>
            </w:pPr>
            <w:r w:rsidRPr="00292718">
              <w:rPr>
                <w:lang w:val="en-GB"/>
              </w:rPr>
              <w:t xml:space="preserve">The </w:t>
            </w:r>
            <w:r w:rsidR="00417E6D" w:rsidRPr="00292718">
              <w:rPr>
                <w:lang w:val="en-GB"/>
              </w:rPr>
              <w:t xml:space="preserve">mechanism for </w:t>
            </w:r>
            <w:r w:rsidRPr="00292718">
              <w:rPr>
                <w:lang w:val="en-GB"/>
              </w:rPr>
              <w:t xml:space="preserve">external quality assurance is the accreditation of </w:t>
            </w:r>
            <w:r w:rsidR="00417E6D" w:rsidRPr="00292718">
              <w:rPr>
                <w:lang w:val="en-GB"/>
              </w:rPr>
              <w:t>HEIs</w:t>
            </w:r>
            <w:r w:rsidRPr="00292718">
              <w:rPr>
                <w:lang w:val="en-GB"/>
              </w:rPr>
              <w:t xml:space="preserve"> </w:t>
            </w:r>
            <w:r w:rsidR="00417E6D" w:rsidRPr="00292718">
              <w:rPr>
                <w:lang w:val="en-GB"/>
              </w:rPr>
              <w:t>in accordance with the principles laid down in “Rules for accreditation of educational institutions”, approved by the Cabin</w:t>
            </w:r>
            <w:r w:rsidR="003945E9" w:rsidRPr="00292718">
              <w:rPr>
                <w:lang w:val="en-GB"/>
              </w:rPr>
              <w:t>e</w:t>
            </w:r>
            <w:r w:rsidR="00417E6D" w:rsidRPr="00292718">
              <w:rPr>
                <w:lang w:val="en-GB"/>
              </w:rPr>
              <w:t xml:space="preserve">t of Ministers on 28 September 2010. </w:t>
            </w:r>
            <w:r w:rsidR="001C58B6" w:rsidRPr="00292718">
              <w:rPr>
                <w:lang w:val="en-GB"/>
              </w:rPr>
              <w:t xml:space="preserve">Currently, the </w:t>
            </w:r>
            <w:r w:rsidRPr="00292718">
              <w:rPr>
                <w:lang w:val="en-GB"/>
              </w:rPr>
              <w:t xml:space="preserve">Accreditation Unit within the </w:t>
            </w:r>
            <w:r w:rsidR="001C58B6" w:rsidRPr="00292718">
              <w:rPr>
                <w:lang w:val="en-GB"/>
              </w:rPr>
              <w:t xml:space="preserve">Ministry of Education is responsible </w:t>
            </w:r>
            <w:r w:rsidR="001C58B6" w:rsidRPr="00292718">
              <w:rPr>
                <w:lang w:val="en-GB"/>
              </w:rPr>
              <w:lastRenderedPageBreak/>
              <w:t>for carrying out accreditation</w:t>
            </w:r>
            <w:r w:rsidR="00DB29E7" w:rsidRPr="00292718">
              <w:rPr>
                <w:lang w:val="en-GB"/>
              </w:rPr>
              <w:t xml:space="preserve"> of all the HEIs in Azerbaijan regardless of their organizational and legal form.</w:t>
            </w:r>
          </w:p>
          <w:p w14:paraId="058CA16C" w14:textId="6FEE2DC6" w:rsidR="00AE0F5A" w:rsidRPr="00292718" w:rsidRDefault="00560430" w:rsidP="001123DA">
            <w:pPr>
              <w:spacing w:before="100" w:beforeAutospacing="1" w:after="100" w:afterAutospacing="1"/>
              <w:rPr>
                <w:lang w:val="en-GB"/>
              </w:rPr>
            </w:pPr>
            <w:r w:rsidRPr="00292718">
              <w:rPr>
                <w:lang w:val="en-GB"/>
              </w:rPr>
              <w:t>The external stakeholders</w:t>
            </w:r>
            <w:r w:rsidR="00191313" w:rsidRPr="00292718">
              <w:rPr>
                <w:lang w:val="en-GB"/>
              </w:rPr>
              <w:t xml:space="preserve">’ involvement in the </w:t>
            </w:r>
            <w:r w:rsidR="00942714" w:rsidRPr="00292718">
              <w:rPr>
                <w:lang w:val="en-GB"/>
              </w:rPr>
              <w:t>development of current accreditation rules</w:t>
            </w:r>
            <w:r w:rsidR="00B60798" w:rsidRPr="00292718">
              <w:rPr>
                <w:lang w:val="en-GB"/>
              </w:rPr>
              <w:t xml:space="preserve"> has </w:t>
            </w:r>
            <w:r w:rsidR="00191313" w:rsidRPr="00292718">
              <w:rPr>
                <w:lang w:val="en-GB"/>
              </w:rPr>
              <w:t>been very low or almost non-existent.</w:t>
            </w:r>
          </w:p>
          <w:p w14:paraId="0CAA4D15" w14:textId="1F5F086E" w:rsidR="004403B6" w:rsidRPr="00292718" w:rsidRDefault="00AE0F5A" w:rsidP="001123DA">
            <w:pPr>
              <w:spacing w:before="100" w:beforeAutospacing="1" w:after="100" w:afterAutospacing="1"/>
              <w:rPr>
                <w:lang w:val="en-GB"/>
              </w:rPr>
            </w:pPr>
            <w:r w:rsidRPr="00292718">
              <w:rPr>
                <w:lang w:val="en-GB"/>
              </w:rPr>
              <w:t>Accreditation, according to the Education Law, is defined as a procedure to determine and approve the adherence of an educational institution’</w:t>
            </w:r>
            <w:r w:rsidR="004403B6" w:rsidRPr="00292718">
              <w:rPr>
                <w:lang w:val="en-GB"/>
              </w:rPr>
              <w:t>s activities to</w:t>
            </w:r>
            <w:r w:rsidRPr="00292718">
              <w:rPr>
                <w:lang w:val="en-GB"/>
              </w:rPr>
              <w:t xml:space="preserve"> the national education standards and its status.</w:t>
            </w:r>
          </w:p>
          <w:p w14:paraId="7C5BE92E" w14:textId="77777777" w:rsidR="00576D9A" w:rsidRPr="00292718" w:rsidRDefault="001247B1" w:rsidP="001123DA">
            <w:pPr>
              <w:spacing w:before="100" w:beforeAutospacing="1" w:after="100" w:afterAutospacing="1"/>
              <w:rPr>
                <w:lang w:val="en-GB"/>
              </w:rPr>
            </w:pPr>
            <w:r w:rsidRPr="00292718">
              <w:rPr>
                <w:lang w:val="en-GB"/>
              </w:rPr>
              <w:t>As the present system attempts to assess the entire instit</w:t>
            </w:r>
            <w:r w:rsidR="001521C9" w:rsidRPr="00292718">
              <w:rPr>
                <w:lang w:val="en-GB"/>
              </w:rPr>
              <w:t xml:space="preserve">ution with all of its curricula. </w:t>
            </w:r>
            <w:r w:rsidRPr="00292718">
              <w:rPr>
                <w:lang w:val="en-GB"/>
              </w:rPr>
              <w:t xml:space="preserve"> </w:t>
            </w:r>
          </w:p>
          <w:p w14:paraId="6D0D7FA5" w14:textId="77777777" w:rsidR="00AE0F5A" w:rsidRPr="00292718" w:rsidRDefault="00012FFB" w:rsidP="001123DA">
            <w:pPr>
              <w:spacing w:before="100" w:beforeAutospacing="1" w:after="100" w:afterAutospacing="1"/>
              <w:rPr>
                <w:highlight w:val="yellow"/>
                <w:lang w:val="en-GB"/>
              </w:rPr>
            </w:pPr>
            <w:r w:rsidRPr="00B16466">
              <w:rPr>
                <w:lang w:val="en-GB"/>
              </w:rPr>
              <w:t>The Action Plan</w:t>
            </w:r>
            <w:r w:rsidRPr="00292718">
              <w:rPr>
                <w:lang w:val="en-GB"/>
              </w:rPr>
              <w:t xml:space="preserve"> on the </w:t>
            </w:r>
            <w:r w:rsidRPr="00292718">
              <w:rPr>
                <w:i/>
                <w:lang w:val="en-GB"/>
              </w:rPr>
              <w:t>Implementation of the National Strategy for the Development of Education in the Republic of Azerbaijan</w:t>
            </w:r>
            <w:r w:rsidRPr="00292718">
              <w:rPr>
                <w:lang w:val="en-GB"/>
              </w:rPr>
              <w:t xml:space="preserve"> (approved by the President in 2015) describes that preparations are under way to revise the current accreditation rules for institutions and study programmes and bring them into accordance with international experience by the</w:t>
            </w:r>
            <w:r w:rsidR="00DC29A0" w:rsidRPr="00292718">
              <w:rPr>
                <w:lang w:val="en-GB"/>
              </w:rPr>
              <w:t xml:space="preserve"> </w:t>
            </w:r>
            <w:proofErr w:type="spellStart"/>
            <w:r w:rsidR="00DC29A0" w:rsidRPr="00292718">
              <w:rPr>
                <w:lang w:val="en-GB"/>
              </w:rPr>
              <w:t>MoE</w:t>
            </w:r>
            <w:proofErr w:type="spellEnd"/>
            <w:r w:rsidR="00DC29A0" w:rsidRPr="00292718">
              <w:rPr>
                <w:lang w:val="en-GB"/>
              </w:rPr>
              <w:t xml:space="preserve"> during 2016-</w:t>
            </w:r>
            <w:r w:rsidR="00DC29A0" w:rsidRPr="00292718">
              <w:rPr>
                <w:lang w:val="en-GB"/>
              </w:rPr>
              <w:lastRenderedPageBreak/>
              <w:t>2017; approving them by the Cabinet of Ministers in 2017; preparation of quality standards and indexes for all stages and levels of education.</w:t>
            </w:r>
          </w:p>
        </w:tc>
        <w:tc>
          <w:tcPr>
            <w:tcW w:w="3499" w:type="dxa"/>
          </w:tcPr>
          <w:p w14:paraId="39E6D98C" w14:textId="77777777" w:rsidR="009B41C7" w:rsidRPr="00292718" w:rsidRDefault="00D5213C" w:rsidP="001123DA">
            <w:pPr>
              <w:spacing w:before="100" w:beforeAutospacing="1" w:after="100" w:afterAutospacing="1"/>
              <w:rPr>
                <w:color w:val="FFC000"/>
                <w:lang w:val="en-GB"/>
              </w:rPr>
            </w:pPr>
            <w:r w:rsidRPr="00292718">
              <w:rPr>
                <w:lang w:val="en-GB"/>
              </w:rPr>
              <w:lastRenderedPageBreak/>
              <w:t xml:space="preserve">There is ambiguity of purpose and objectives of accreditation. QA mechanism is seen as too strict, complicated and demanding. </w:t>
            </w:r>
            <w:r w:rsidR="00D34EAA" w:rsidRPr="00292718">
              <w:rPr>
                <w:lang w:val="en-GB"/>
              </w:rPr>
              <w:t xml:space="preserve"> Low interaction with labour market, employers and stakeholders, incl. students in all stages of quality cycle from design through delivery to evaluation. </w:t>
            </w:r>
            <w:r w:rsidR="00616408" w:rsidRPr="00292718">
              <w:rPr>
                <w:lang w:val="en-GB"/>
              </w:rPr>
              <w:t xml:space="preserve">There is no review and improvement strategy or procedure. </w:t>
            </w:r>
            <w:r w:rsidR="00616408" w:rsidRPr="00292718">
              <w:rPr>
                <w:lang w:val="en-GB"/>
              </w:rPr>
              <w:lastRenderedPageBreak/>
              <w:t>(Output 7)</w:t>
            </w:r>
          </w:p>
        </w:tc>
        <w:tc>
          <w:tcPr>
            <w:tcW w:w="3499" w:type="dxa"/>
          </w:tcPr>
          <w:p w14:paraId="6834AC65" w14:textId="21402380" w:rsidR="00AC4CB3" w:rsidRPr="00292718" w:rsidRDefault="00AC4CB3" w:rsidP="001123DA">
            <w:pPr>
              <w:pStyle w:val="a8"/>
              <w:numPr>
                <w:ilvl w:val="0"/>
                <w:numId w:val="13"/>
              </w:numPr>
              <w:spacing w:before="100" w:beforeAutospacing="1" w:after="100" w:afterAutospacing="1"/>
              <w:rPr>
                <w:lang w:val="en-GB"/>
              </w:rPr>
            </w:pPr>
            <w:r w:rsidRPr="00292718">
              <w:rPr>
                <w:lang w:val="en-GB"/>
              </w:rPr>
              <w:lastRenderedPageBreak/>
              <w:t xml:space="preserve">Set a clear purpose for accreditation: Is only institutional accreditation needed or also accreditation of study programmes?  If both, how can these </w:t>
            </w:r>
            <w:proofErr w:type="gramStart"/>
            <w:r w:rsidRPr="00292718">
              <w:rPr>
                <w:lang w:val="en-GB"/>
              </w:rPr>
              <w:t>be</w:t>
            </w:r>
            <w:proofErr w:type="gramEnd"/>
            <w:r w:rsidRPr="00292718">
              <w:rPr>
                <w:lang w:val="en-GB"/>
              </w:rPr>
              <w:t xml:space="preserve"> </w:t>
            </w:r>
            <w:r w:rsidR="00EF07DC">
              <w:rPr>
                <w:lang w:val="en-GB"/>
              </w:rPr>
              <w:t>conducted</w:t>
            </w:r>
            <w:r w:rsidRPr="00292718">
              <w:rPr>
                <w:lang w:val="en-GB"/>
              </w:rPr>
              <w:t xml:space="preserve"> in the best possible way?</w:t>
            </w:r>
            <w:r w:rsidR="00616408" w:rsidRPr="00292718">
              <w:rPr>
                <w:lang w:val="en-GB"/>
              </w:rPr>
              <w:t xml:space="preserve"> A wider discus</w:t>
            </w:r>
            <w:r w:rsidR="00627D1F" w:rsidRPr="00292718">
              <w:rPr>
                <w:lang w:val="en-GB"/>
              </w:rPr>
              <w:t xml:space="preserve">sion among various actors (incl. </w:t>
            </w:r>
            <w:proofErr w:type="spellStart"/>
            <w:r w:rsidR="00627D1F" w:rsidRPr="00292718">
              <w:rPr>
                <w:lang w:val="en-GB"/>
              </w:rPr>
              <w:t>MoE</w:t>
            </w:r>
            <w:proofErr w:type="spellEnd"/>
            <w:r w:rsidR="00627D1F" w:rsidRPr="00292718">
              <w:rPr>
                <w:lang w:val="en-GB"/>
              </w:rPr>
              <w:t>, HEIs, employers etc.</w:t>
            </w:r>
            <w:r w:rsidR="00616408" w:rsidRPr="00292718">
              <w:rPr>
                <w:lang w:val="en-GB"/>
              </w:rPr>
              <w:t xml:space="preserve">) should be initiated. </w:t>
            </w:r>
          </w:p>
          <w:p w14:paraId="47C6850B" w14:textId="77777777" w:rsidR="009B41C7" w:rsidRPr="00292718" w:rsidRDefault="00942714" w:rsidP="001123DA">
            <w:pPr>
              <w:pStyle w:val="a8"/>
              <w:numPr>
                <w:ilvl w:val="0"/>
                <w:numId w:val="13"/>
              </w:numPr>
              <w:spacing w:before="100" w:beforeAutospacing="1" w:after="100" w:afterAutospacing="1"/>
              <w:rPr>
                <w:lang w:val="en-GB"/>
              </w:rPr>
            </w:pPr>
            <w:r w:rsidRPr="00292718">
              <w:rPr>
                <w:lang w:val="en-GB"/>
              </w:rPr>
              <w:lastRenderedPageBreak/>
              <w:t xml:space="preserve">As the procedure and criteria of accreditation of HEIs is reviewed in the context of the Action Plan, it is advised to involve external stakeholders, such as labour market representatives, students, industry representatives, and consider their views before the adoption of the rules. </w:t>
            </w:r>
          </w:p>
          <w:p w14:paraId="25EAD57C" w14:textId="77777777" w:rsidR="008E74AF" w:rsidRPr="00292718" w:rsidRDefault="008E74AF" w:rsidP="001123DA">
            <w:pPr>
              <w:pStyle w:val="a8"/>
              <w:spacing w:before="100" w:beforeAutospacing="1" w:after="100" w:afterAutospacing="1"/>
              <w:ind w:left="360"/>
              <w:rPr>
                <w:lang w:val="en-GB"/>
              </w:rPr>
            </w:pPr>
          </w:p>
        </w:tc>
      </w:tr>
      <w:tr w:rsidR="009B41C7" w:rsidRPr="00292718" w14:paraId="7FA6B696" w14:textId="77777777" w:rsidTr="001123DA">
        <w:tc>
          <w:tcPr>
            <w:tcW w:w="3498" w:type="dxa"/>
          </w:tcPr>
          <w:p w14:paraId="2A18281F" w14:textId="54FE8B2B" w:rsidR="009B41C7" w:rsidRPr="00292718" w:rsidRDefault="009B1EC1" w:rsidP="002901AB">
            <w:pPr>
              <w:rPr>
                <w:b/>
                <w:i/>
                <w:lang w:val="en-GB"/>
              </w:rPr>
            </w:pPr>
            <w:r w:rsidRPr="00292718">
              <w:rPr>
                <w:b/>
                <w:i/>
                <w:lang w:val="en-GB"/>
              </w:rPr>
              <w:lastRenderedPageBreak/>
              <w:t>2</w:t>
            </w:r>
            <w:r w:rsidR="00FE273C" w:rsidRPr="00292718">
              <w:rPr>
                <w:b/>
                <w:i/>
                <w:lang w:val="en-GB"/>
              </w:rPr>
              <w:t xml:space="preserve">.3 Implementing processes </w:t>
            </w:r>
          </w:p>
        </w:tc>
        <w:tc>
          <w:tcPr>
            <w:tcW w:w="3498" w:type="dxa"/>
          </w:tcPr>
          <w:p w14:paraId="7528CCB6" w14:textId="52E59D31" w:rsidR="009B41C7" w:rsidRPr="00292718" w:rsidRDefault="00F042CE" w:rsidP="001123DA">
            <w:pPr>
              <w:spacing w:before="100" w:beforeAutospacing="1" w:after="100" w:afterAutospacing="1"/>
              <w:rPr>
                <w:lang w:val="en-GB"/>
              </w:rPr>
            </w:pPr>
            <w:r w:rsidRPr="00292718">
              <w:rPr>
                <w:lang w:val="en-GB"/>
              </w:rPr>
              <w:t>Processes of accreditation are prescribed in the above mentioned state-level docum</w:t>
            </w:r>
            <w:r w:rsidR="00020A1E" w:rsidRPr="00292718">
              <w:rPr>
                <w:lang w:val="en-GB"/>
              </w:rPr>
              <w:t xml:space="preserve">entation which covers parts carried out by </w:t>
            </w:r>
            <w:proofErr w:type="spellStart"/>
            <w:r w:rsidR="00020A1E" w:rsidRPr="00292718">
              <w:rPr>
                <w:lang w:val="en-GB"/>
              </w:rPr>
              <w:t>MoE</w:t>
            </w:r>
            <w:proofErr w:type="spellEnd"/>
            <w:r w:rsidR="00020A1E" w:rsidRPr="00292718">
              <w:rPr>
                <w:lang w:val="en-GB"/>
              </w:rPr>
              <w:t xml:space="preserve"> and institution to be accredited. </w:t>
            </w:r>
          </w:p>
          <w:p w14:paraId="43D0E961" w14:textId="0FFAFFE9" w:rsidR="00F042CE" w:rsidRPr="00292718" w:rsidRDefault="00F042CE" w:rsidP="001123DA">
            <w:pPr>
              <w:spacing w:before="100" w:beforeAutospacing="1" w:after="100" w:afterAutospacing="1"/>
              <w:rPr>
                <w:lang w:val="en-GB"/>
              </w:rPr>
            </w:pPr>
            <w:r w:rsidRPr="00292718">
              <w:rPr>
                <w:lang w:val="en-GB"/>
              </w:rPr>
              <w:t xml:space="preserve">The </w:t>
            </w:r>
            <w:r w:rsidR="00165E9C" w:rsidRPr="00292718">
              <w:rPr>
                <w:lang w:val="en-GB"/>
              </w:rPr>
              <w:t xml:space="preserve">implementing processes cover the </w:t>
            </w:r>
            <w:r w:rsidRPr="00292718">
              <w:rPr>
                <w:lang w:val="en-GB"/>
              </w:rPr>
              <w:t xml:space="preserve">stages </w:t>
            </w:r>
            <w:r w:rsidR="00165E9C" w:rsidRPr="00292718">
              <w:rPr>
                <w:lang w:val="en-GB"/>
              </w:rPr>
              <w:t xml:space="preserve">described </w:t>
            </w:r>
            <w:r w:rsidRPr="00292718">
              <w:rPr>
                <w:lang w:val="en-GB"/>
              </w:rPr>
              <w:t>in ESG.</w:t>
            </w:r>
          </w:p>
          <w:p w14:paraId="7BC7EC59" w14:textId="03827913" w:rsidR="00C17D54" w:rsidRPr="00292718" w:rsidRDefault="00165E9C" w:rsidP="001123DA">
            <w:pPr>
              <w:spacing w:before="100" w:beforeAutospacing="1" w:after="100" w:afterAutospacing="1"/>
              <w:rPr>
                <w:lang w:val="en-GB"/>
              </w:rPr>
            </w:pPr>
            <w:r w:rsidRPr="00292718">
              <w:rPr>
                <w:lang w:val="en-GB"/>
              </w:rPr>
              <w:t xml:space="preserve">The system of follow-up activities is not </w:t>
            </w:r>
            <w:proofErr w:type="spellStart"/>
            <w:r w:rsidRPr="00292718">
              <w:rPr>
                <w:lang w:val="en-GB"/>
              </w:rPr>
              <w:t>clerarly</w:t>
            </w:r>
            <w:proofErr w:type="spellEnd"/>
            <w:r w:rsidRPr="00292718">
              <w:rPr>
                <w:lang w:val="en-GB"/>
              </w:rPr>
              <w:t xml:space="preserve"> expressed in current regulations. </w:t>
            </w:r>
          </w:p>
        </w:tc>
        <w:tc>
          <w:tcPr>
            <w:tcW w:w="3499" w:type="dxa"/>
          </w:tcPr>
          <w:p w14:paraId="3FC31049" w14:textId="532C0A0D" w:rsidR="009B41C7" w:rsidRPr="00292718" w:rsidRDefault="00020A1E" w:rsidP="001123DA">
            <w:pPr>
              <w:spacing w:before="100" w:beforeAutospacing="1" w:after="100" w:afterAutospacing="1"/>
              <w:rPr>
                <w:lang w:val="en-GB"/>
              </w:rPr>
            </w:pPr>
            <w:r w:rsidRPr="00292718">
              <w:rPr>
                <w:lang w:val="en-GB"/>
              </w:rPr>
              <w:t>Critical comments on formulation of conclusions, appeal and involvement of institution  and follow-up (Output 7)</w:t>
            </w:r>
          </w:p>
        </w:tc>
        <w:tc>
          <w:tcPr>
            <w:tcW w:w="3499" w:type="dxa"/>
          </w:tcPr>
          <w:p w14:paraId="3954A766" w14:textId="5FE18468" w:rsidR="00165E9C" w:rsidRPr="00292718" w:rsidRDefault="00FE273C" w:rsidP="00165E9C">
            <w:pPr>
              <w:pStyle w:val="a8"/>
              <w:numPr>
                <w:ilvl w:val="0"/>
                <w:numId w:val="13"/>
              </w:numPr>
              <w:spacing w:before="100" w:beforeAutospacing="1" w:after="100" w:afterAutospacing="1"/>
              <w:rPr>
                <w:lang w:val="en-GB"/>
              </w:rPr>
            </w:pPr>
            <w:r w:rsidRPr="00292718">
              <w:rPr>
                <w:lang w:val="en-GB"/>
              </w:rPr>
              <w:t>It is recommended that a clear process of follow-up is designed and introduced in cooperation with representatives of HEIs.</w:t>
            </w:r>
          </w:p>
        </w:tc>
      </w:tr>
      <w:tr w:rsidR="009B41C7" w:rsidRPr="00292718" w14:paraId="0403EC04" w14:textId="77777777" w:rsidTr="007D0D0E">
        <w:trPr>
          <w:trHeight w:val="1408"/>
        </w:trPr>
        <w:tc>
          <w:tcPr>
            <w:tcW w:w="3498" w:type="dxa"/>
          </w:tcPr>
          <w:p w14:paraId="39B7A416" w14:textId="18639CAF" w:rsidR="009B41C7" w:rsidRPr="00292718" w:rsidRDefault="00FE273C" w:rsidP="002901AB">
            <w:pPr>
              <w:rPr>
                <w:b/>
                <w:i/>
                <w:lang w:val="en-GB"/>
              </w:rPr>
            </w:pPr>
            <w:r w:rsidRPr="00292718">
              <w:rPr>
                <w:b/>
                <w:i/>
                <w:lang w:val="en-GB"/>
              </w:rPr>
              <w:t xml:space="preserve">2.4 Peer-review experts </w:t>
            </w:r>
          </w:p>
        </w:tc>
        <w:tc>
          <w:tcPr>
            <w:tcW w:w="3498" w:type="dxa"/>
          </w:tcPr>
          <w:p w14:paraId="551EA2C1" w14:textId="042981E6" w:rsidR="009B41C7" w:rsidRPr="00292718" w:rsidRDefault="00C80074" w:rsidP="001123DA">
            <w:pPr>
              <w:spacing w:before="100" w:beforeAutospacing="1" w:after="100" w:afterAutospacing="1"/>
              <w:rPr>
                <w:lang w:val="en-GB"/>
              </w:rPr>
            </w:pPr>
            <w:r w:rsidRPr="00292718">
              <w:rPr>
                <w:lang w:val="en-GB"/>
              </w:rPr>
              <w:t>Accreditation</w:t>
            </w:r>
            <w:r w:rsidR="001521C9" w:rsidRPr="00292718">
              <w:rPr>
                <w:lang w:val="en-GB"/>
              </w:rPr>
              <w:t xml:space="preserve"> commission</w:t>
            </w:r>
            <w:r w:rsidRPr="00292718">
              <w:rPr>
                <w:lang w:val="en-GB"/>
              </w:rPr>
              <w:t xml:space="preserve">s consist </w:t>
            </w:r>
            <w:r w:rsidR="001521C9" w:rsidRPr="00292718">
              <w:rPr>
                <w:lang w:val="en-GB"/>
              </w:rPr>
              <w:t xml:space="preserve">of members that have the necessary expertise in evaluation </w:t>
            </w:r>
            <w:r w:rsidRPr="00292718">
              <w:rPr>
                <w:lang w:val="en-GB"/>
              </w:rPr>
              <w:t xml:space="preserve">of </w:t>
            </w:r>
            <w:r w:rsidR="001521C9" w:rsidRPr="00292718">
              <w:rPr>
                <w:lang w:val="en-GB"/>
              </w:rPr>
              <w:t>the fields taught in the HEI</w:t>
            </w:r>
            <w:r w:rsidR="000330B7" w:rsidRPr="00292718">
              <w:rPr>
                <w:lang w:val="en-GB"/>
              </w:rPr>
              <w:t xml:space="preserve"> and who are members of other HEIs, incl. deans or vice-rectors</w:t>
            </w:r>
            <w:r w:rsidR="001521C9" w:rsidRPr="00292718">
              <w:rPr>
                <w:lang w:val="en-GB"/>
              </w:rPr>
              <w:t xml:space="preserve">. </w:t>
            </w:r>
            <w:r w:rsidR="00B16466">
              <w:rPr>
                <w:lang w:val="en-GB"/>
              </w:rPr>
              <w:t>The no-conflict-</w:t>
            </w:r>
            <w:r w:rsidR="000330B7" w:rsidRPr="00292718">
              <w:rPr>
                <w:lang w:val="en-GB"/>
              </w:rPr>
              <w:t xml:space="preserve">of interest is guaranteed by way of not including members who are in contractual relations with the institution under accreditation. </w:t>
            </w:r>
            <w:r w:rsidR="00917360" w:rsidRPr="00292718">
              <w:rPr>
                <w:lang w:val="en-GB"/>
              </w:rPr>
              <w:t xml:space="preserve">Accreditation has been conducted only with local experts, in the Azeri language. Accreditation commissions have very seldom involved representatives of employers; there have been no </w:t>
            </w:r>
            <w:r w:rsidR="00917360" w:rsidRPr="00292718">
              <w:rPr>
                <w:lang w:val="en-GB"/>
              </w:rPr>
              <w:lastRenderedPageBreak/>
              <w:t>student members present in the com</w:t>
            </w:r>
            <w:r w:rsidR="00B16466">
              <w:rPr>
                <w:lang w:val="en-GB"/>
              </w:rPr>
              <w:t>m</w:t>
            </w:r>
            <w:r w:rsidR="00917360" w:rsidRPr="00292718">
              <w:rPr>
                <w:lang w:val="en-GB"/>
              </w:rPr>
              <w:t xml:space="preserve">issions. </w:t>
            </w:r>
            <w:r w:rsidR="000330B7" w:rsidRPr="00292718">
              <w:rPr>
                <w:lang w:val="en-GB"/>
              </w:rPr>
              <w:t xml:space="preserve">The number of members in a commission depends on the number of fields/study programmes at the institution. </w:t>
            </w:r>
          </w:p>
          <w:p w14:paraId="135699E3" w14:textId="77777777" w:rsidR="007008B3" w:rsidRPr="00292718" w:rsidRDefault="007008B3" w:rsidP="001123DA">
            <w:pPr>
              <w:spacing w:before="100" w:beforeAutospacing="1" w:after="100" w:afterAutospacing="1"/>
              <w:rPr>
                <w:lang w:val="en-GB"/>
              </w:rPr>
            </w:pPr>
          </w:p>
        </w:tc>
        <w:tc>
          <w:tcPr>
            <w:tcW w:w="3499" w:type="dxa"/>
          </w:tcPr>
          <w:p w14:paraId="7C5A4FC9" w14:textId="77777777" w:rsidR="009B41C7" w:rsidRPr="00292718" w:rsidRDefault="00AC4CB3" w:rsidP="001123DA">
            <w:pPr>
              <w:spacing w:before="100" w:beforeAutospacing="1" w:after="100" w:afterAutospacing="1"/>
              <w:rPr>
                <w:color w:val="FFC000"/>
                <w:lang w:val="en-GB"/>
              </w:rPr>
            </w:pPr>
            <w:r w:rsidRPr="00292718">
              <w:rPr>
                <w:lang w:val="en-GB"/>
              </w:rPr>
              <w:lastRenderedPageBreak/>
              <w:t>External experts are seen as competent and well selected; there information missing in their training and instruction; no involvement of employers, stakeholders and students.</w:t>
            </w:r>
            <w:r w:rsidR="00616408" w:rsidRPr="00292718">
              <w:rPr>
                <w:lang w:val="en-GB"/>
              </w:rPr>
              <w:t xml:space="preserve"> (Output 7)</w:t>
            </w:r>
          </w:p>
        </w:tc>
        <w:tc>
          <w:tcPr>
            <w:tcW w:w="3499" w:type="dxa"/>
          </w:tcPr>
          <w:p w14:paraId="5AAF8ACC" w14:textId="77777777" w:rsidR="00020A1E" w:rsidRPr="00292718" w:rsidRDefault="00807656" w:rsidP="001123DA">
            <w:pPr>
              <w:pStyle w:val="a8"/>
              <w:numPr>
                <w:ilvl w:val="0"/>
                <w:numId w:val="2"/>
              </w:numPr>
              <w:spacing w:before="100" w:beforeAutospacing="1" w:after="100" w:afterAutospacing="1"/>
              <w:contextualSpacing w:val="0"/>
              <w:rPr>
                <w:lang w:val="en-GB"/>
              </w:rPr>
            </w:pPr>
            <w:r w:rsidRPr="00292718">
              <w:rPr>
                <w:lang w:val="en-GB"/>
              </w:rPr>
              <w:t xml:space="preserve">The systematic involvement of employers/professional practitioners and students in the work of accreditation commissions </w:t>
            </w:r>
            <w:r w:rsidR="00B3022E" w:rsidRPr="00292718">
              <w:rPr>
                <w:lang w:val="en-GB"/>
              </w:rPr>
              <w:t>is advisable</w:t>
            </w:r>
            <w:r w:rsidRPr="00292718">
              <w:rPr>
                <w:lang w:val="en-GB"/>
              </w:rPr>
              <w:t>.</w:t>
            </w:r>
          </w:p>
          <w:p w14:paraId="1ECB9AF2" w14:textId="1B6C8F00" w:rsidR="00807656" w:rsidRPr="00292718" w:rsidRDefault="00807656" w:rsidP="001123DA">
            <w:pPr>
              <w:pStyle w:val="a8"/>
              <w:numPr>
                <w:ilvl w:val="0"/>
                <w:numId w:val="2"/>
              </w:numPr>
              <w:spacing w:before="100" w:beforeAutospacing="1" w:after="100" w:afterAutospacing="1"/>
              <w:contextualSpacing w:val="0"/>
              <w:rPr>
                <w:lang w:val="en-GB"/>
              </w:rPr>
            </w:pPr>
            <w:r w:rsidRPr="00292718">
              <w:rPr>
                <w:lang w:val="en-GB"/>
              </w:rPr>
              <w:t>Consider possibilities of including some foreign experts in the commissions in order to increase the international experience of the members and thus bring more of that exper</w:t>
            </w:r>
            <w:r w:rsidR="00B3022E" w:rsidRPr="00292718">
              <w:rPr>
                <w:lang w:val="en-GB"/>
              </w:rPr>
              <w:t>ience to the HEIs in Azerbaijan – one of the hopes also expressed by the institutions visited.</w:t>
            </w:r>
          </w:p>
        </w:tc>
      </w:tr>
      <w:tr w:rsidR="009B41C7" w:rsidRPr="00292718" w14:paraId="38F9A6B3" w14:textId="77777777" w:rsidTr="002901AB">
        <w:tc>
          <w:tcPr>
            <w:tcW w:w="3498" w:type="dxa"/>
          </w:tcPr>
          <w:p w14:paraId="25820E7A" w14:textId="6FCDA425" w:rsidR="009B41C7" w:rsidRPr="00292718" w:rsidRDefault="006900D2" w:rsidP="002901AB">
            <w:pPr>
              <w:rPr>
                <w:b/>
                <w:i/>
                <w:lang w:val="en-GB"/>
              </w:rPr>
            </w:pPr>
            <w:r w:rsidRPr="00292718">
              <w:rPr>
                <w:b/>
                <w:i/>
                <w:lang w:val="en-GB"/>
              </w:rPr>
              <w:lastRenderedPageBreak/>
              <w:t xml:space="preserve">2.5 Criteria for outcomes </w:t>
            </w:r>
          </w:p>
        </w:tc>
        <w:tc>
          <w:tcPr>
            <w:tcW w:w="3498" w:type="dxa"/>
          </w:tcPr>
          <w:p w14:paraId="09721A91" w14:textId="77777777" w:rsidR="009B41C7" w:rsidRPr="00292718" w:rsidRDefault="006E3FC9" w:rsidP="001123DA">
            <w:pPr>
              <w:spacing w:before="100" w:beforeAutospacing="1" w:after="100" w:afterAutospacing="1"/>
              <w:rPr>
                <w:lang w:val="en-GB"/>
              </w:rPr>
            </w:pPr>
            <w:r w:rsidRPr="00292718">
              <w:rPr>
                <w:lang w:val="en-GB"/>
              </w:rPr>
              <w:t xml:space="preserve">The area indicators and criteria set for the accreditation are specified in the document “Criteria determining the compliance of the activity of an education institution with the requirements of the state education standards”.  </w:t>
            </w:r>
          </w:p>
          <w:p w14:paraId="7971E1A6" w14:textId="77777777" w:rsidR="007008B3" w:rsidRPr="00292718" w:rsidRDefault="007008B3" w:rsidP="001123DA">
            <w:pPr>
              <w:spacing w:before="100" w:beforeAutospacing="1" w:after="100" w:afterAutospacing="1"/>
              <w:rPr>
                <w:lang w:val="en-GB"/>
              </w:rPr>
            </w:pPr>
          </w:p>
        </w:tc>
        <w:tc>
          <w:tcPr>
            <w:tcW w:w="3499" w:type="dxa"/>
          </w:tcPr>
          <w:p w14:paraId="20EA8741" w14:textId="77777777" w:rsidR="009B41C7" w:rsidRPr="00292718" w:rsidRDefault="008E1D4C" w:rsidP="001123DA">
            <w:pPr>
              <w:spacing w:before="100" w:beforeAutospacing="1" w:after="100" w:afterAutospacing="1"/>
              <w:rPr>
                <w:color w:val="FFC000"/>
                <w:lang w:val="en-GB"/>
              </w:rPr>
            </w:pPr>
            <w:r w:rsidRPr="00292718">
              <w:rPr>
                <w:lang w:val="en-GB"/>
              </w:rPr>
              <w:t xml:space="preserve">Criteria are set and published. </w:t>
            </w:r>
            <w:r w:rsidR="00AC4CB3" w:rsidRPr="00292718">
              <w:rPr>
                <w:lang w:val="en-GB"/>
              </w:rPr>
              <w:t>(Output 7)</w:t>
            </w:r>
          </w:p>
        </w:tc>
        <w:tc>
          <w:tcPr>
            <w:tcW w:w="3499" w:type="dxa"/>
          </w:tcPr>
          <w:p w14:paraId="60539C75" w14:textId="516B1936" w:rsidR="007D0D0E" w:rsidRPr="00292718" w:rsidRDefault="007D0D0E" w:rsidP="001123DA">
            <w:pPr>
              <w:pStyle w:val="a8"/>
              <w:numPr>
                <w:ilvl w:val="0"/>
                <w:numId w:val="12"/>
              </w:numPr>
              <w:spacing w:before="100" w:beforeAutospacing="1" w:after="100" w:afterAutospacing="1"/>
              <w:rPr>
                <w:bCs/>
                <w:lang w:val="en-GB"/>
              </w:rPr>
            </w:pPr>
            <w:r w:rsidRPr="00292718">
              <w:rPr>
                <w:bCs/>
                <w:lang w:val="en-GB"/>
              </w:rPr>
              <w:t>The document describing the criteria and indicators for accreditation may also need some revision. Some area indicators seem to somewhat overlap, e.g., “organisation of qualification courses for teachers (part of “Staff of institution” area) and “engagement of scientific-pedagogical staff in qualification courses in foreign countries” (under the area of “International cooperation” could be considered combining. The development of educational</w:t>
            </w:r>
            <w:r w:rsidR="00C17D54" w:rsidRPr="00292718">
              <w:rPr>
                <w:bCs/>
                <w:lang w:val="en-GB"/>
              </w:rPr>
              <w:t xml:space="preserve"> </w:t>
            </w:r>
            <w:r w:rsidRPr="00292718">
              <w:rPr>
                <w:bCs/>
                <w:lang w:val="en-GB"/>
              </w:rPr>
              <w:t xml:space="preserve">materials </w:t>
            </w:r>
            <w:r w:rsidR="00C17D54" w:rsidRPr="00292718">
              <w:rPr>
                <w:bCs/>
                <w:lang w:val="en-GB"/>
              </w:rPr>
              <w:t>is</w:t>
            </w:r>
            <w:r w:rsidRPr="00292718">
              <w:rPr>
                <w:bCs/>
                <w:lang w:val="en-GB"/>
              </w:rPr>
              <w:t xml:space="preserve"> mentioned in 3 different places in the document.  </w:t>
            </w:r>
          </w:p>
          <w:p w14:paraId="02A6182A" w14:textId="77777777" w:rsidR="009B41C7" w:rsidRPr="00292718" w:rsidRDefault="007D0D0E" w:rsidP="001123DA">
            <w:pPr>
              <w:pStyle w:val="a8"/>
              <w:numPr>
                <w:ilvl w:val="0"/>
                <w:numId w:val="12"/>
              </w:numPr>
              <w:spacing w:before="100" w:beforeAutospacing="1" w:after="100" w:afterAutospacing="1"/>
              <w:rPr>
                <w:bCs/>
                <w:lang w:val="en-GB"/>
              </w:rPr>
            </w:pPr>
            <w:r w:rsidRPr="00292718">
              <w:rPr>
                <w:bCs/>
                <w:lang w:val="en-GB"/>
              </w:rPr>
              <w:t xml:space="preserve">It could also be pointed out that the current criteria are very quantitative rather than qualitative, not taking into consideration the quality and content. For example, an institution is required – </w:t>
            </w:r>
            <w:r w:rsidRPr="00292718">
              <w:rPr>
                <w:bCs/>
                <w:lang w:val="en-GB"/>
              </w:rPr>
              <w:lastRenderedPageBreak/>
              <w:t>according to the present indicators – to have a certain number of monographs published over the past year per 100 members of the teaching staff (incl. creative works at institutions specialised in art or sports); but not considering whether their content and is appropriate and high quality.</w:t>
            </w:r>
          </w:p>
        </w:tc>
      </w:tr>
      <w:tr w:rsidR="009B41C7" w:rsidRPr="00292718" w14:paraId="26D4DB0D" w14:textId="77777777" w:rsidTr="002901AB">
        <w:tc>
          <w:tcPr>
            <w:tcW w:w="3498" w:type="dxa"/>
          </w:tcPr>
          <w:p w14:paraId="5C7CF7A5" w14:textId="0A0F27CB" w:rsidR="009B41C7" w:rsidRPr="00292718" w:rsidRDefault="009B1EC1" w:rsidP="002901AB">
            <w:pPr>
              <w:rPr>
                <w:b/>
                <w:i/>
                <w:lang w:val="en-GB"/>
              </w:rPr>
            </w:pPr>
            <w:r w:rsidRPr="00292718">
              <w:rPr>
                <w:b/>
                <w:i/>
                <w:lang w:val="en-GB"/>
              </w:rPr>
              <w:lastRenderedPageBreak/>
              <w:t>2.6 Reporting</w:t>
            </w:r>
            <w:r w:rsidR="006900D2" w:rsidRPr="00292718">
              <w:rPr>
                <w:b/>
                <w:i/>
                <w:lang w:val="en-GB"/>
              </w:rPr>
              <w:t xml:space="preserve"> </w:t>
            </w:r>
          </w:p>
        </w:tc>
        <w:tc>
          <w:tcPr>
            <w:tcW w:w="3498" w:type="dxa"/>
          </w:tcPr>
          <w:p w14:paraId="413564E2" w14:textId="77777777" w:rsidR="00AC1BD1" w:rsidRPr="00292718" w:rsidRDefault="00761041" w:rsidP="001123DA">
            <w:pPr>
              <w:spacing w:before="100" w:beforeAutospacing="1" w:after="100" w:afterAutospacing="1"/>
              <w:rPr>
                <w:lang w:val="en-GB"/>
              </w:rPr>
            </w:pPr>
            <w:r w:rsidRPr="00292718">
              <w:rPr>
                <w:lang w:val="en-GB"/>
              </w:rPr>
              <w:t>The outcomes of accreditation (expert commission’s report and the</w:t>
            </w:r>
            <w:r w:rsidR="00FC33A3" w:rsidRPr="00292718">
              <w:rPr>
                <w:lang w:val="en-GB"/>
              </w:rPr>
              <w:t xml:space="preserve"> accreditation</w:t>
            </w:r>
            <w:r w:rsidRPr="00292718">
              <w:rPr>
                <w:lang w:val="en-GB"/>
              </w:rPr>
              <w:t xml:space="preserve"> decision of the) are made public on the </w:t>
            </w:r>
            <w:proofErr w:type="spellStart"/>
            <w:r w:rsidRPr="00292718">
              <w:rPr>
                <w:lang w:val="en-GB"/>
              </w:rPr>
              <w:t>MoE’s</w:t>
            </w:r>
            <w:proofErr w:type="spellEnd"/>
            <w:r w:rsidRPr="00292718">
              <w:rPr>
                <w:lang w:val="en-GB"/>
              </w:rPr>
              <w:t xml:space="preserve"> website</w:t>
            </w:r>
            <w:r w:rsidR="00AC1BD1" w:rsidRPr="00292718">
              <w:rPr>
                <w:lang w:val="en-GB"/>
              </w:rPr>
              <w:t xml:space="preserve"> after the Accreditation Council has made the accreditation decision</w:t>
            </w:r>
            <w:r w:rsidRPr="00292718">
              <w:rPr>
                <w:lang w:val="en-GB"/>
              </w:rPr>
              <w:t>.</w:t>
            </w:r>
            <w:r w:rsidR="00AC1BD1" w:rsidRPr="00292718">
              <w:rPr>
                <w:lang w:val="en-GB"/>
              </w:rPr>
              <w:t xml:space="preserve"> Accreditation results are also publicized in the media.</w:t>
            </w:r>
          </w:p>
          <w:p w14:paraId="386C1A2E" w14:textId="77777777" w:rsidR="00FC33A3" w:rsidRPr="00292718" w:rsidRDefault="00FC33A3" w:rsidP="001123DA">
            <w:pPr>
              <w:spacing w:before="100" w:beforeAutospacing="1" w:after="100" w:afterAutospacing="1"/>
              <w:rPr>
                <w:lang w:val="en-GB"/>
              </w:rPr>
            </w:pPr>
            <w:r w:rsidRPr="00292718">
              <w:rPr>
                <w:lang w:val="en-GB"/>
              </w:rPr>
              <w:t xml:space="preserve">The employers the STEs met were not aware of </w:t>
            </w:r>
            <w:r w:rsidR="00C13682" w:rsidRPr="00292718">
              <w:rPr>
                <w:lang w:val="en-GB"/>
              </w:rPr>
              <w:t xml:space="preserve">the accreditation system </w:t>
            </w:r>
            <w:r w:rsidR="00612007" w:rsidRPr="00292718">
              <w:rPr>
                <w:lang w:val="en-GB"/>
              </w:rPr>
              <w:t>or accreditation results of HEIs.</w:t>
            </w:r>
          </w:p>
          <w:p w14:paraId="263515A7" w14:textId="476904BC" w:rsidR="00FC33A3" w:rsidRPr="00292718" w:rsidRDefault="00FC33A3" w:rsidP="001123DA">
            <w:pPr>
              <w:spacing w:before="100" w:beforeAutospacing="1" w:after="100" w:afterAutospacing="1"/>
              <w:rPr>
                <w:lang w:val="en-GB"/>
              </w:rPr>
            </w:pPr>
            <w:r w:rsidRPr="00292718">
              <w:rPr>
                <w:lang w:val="en-GB"/>
              </w:rPr>
              <w:t xml:space="preserve">The HEI is given an opportunity to </w:t>
            </w:r>
            <w:r w:rsidR="009058ED" w:rsidRPr="00292718">
              <w:rPr>
                <w:lang w:val="en-GB"/>
              </w:rPr>
              <w:t>review</w:t>
            </w:r>
            <w:r w:rsidRPr="00292718">
              <w:rPr>
                <w:lang w:val="en-GB"/>
              </w:rPr>
              <w:t xml:space="preserve"> the expert report for its accuracy and submit possible comments within one week. </w:t>
            </w:r>
          </w:p>
          <w:p w14:paraId="5D8C7152" w14:textId="77777777" w:rsidR="00AC1BD1" w:rsidRPr="00292718" w:rsidRDefault="00AC1BD1" w:rsidP="001123DA">
            <w:pPr>
              <w:spacing w:before="100" w:beforeAutospacing="1" w:after="100" w:afterAutospacing="1"/>
              <w:rPr>
                <w:lang w:val="en-GB"/>
              </w:rPr>
            </w:pPr>
          </w:p>
          <w:p w14:paraId="6FE445D5" w14:textId="77777777" w:rsidR="00AC1BD1" w:rsidRPr="00292718" w:rsidRDefault="00AC1BD1" w:rsidP="001123DA">
            <w:pPr>
              <w:spacing w:before="100" w:beforeAutospacing="1" w:after="100" w:afterAutospacing="1"/>
              <w:rPr>
                <w:lang w:val="en-GB"/>
              </w:rPr>
            </w:pPr>
          </w:p>
          <w:p w14:paraId="2357DD90" w14:textId="77777777" w:rsidR="00AC1BD1" w:rsidRPr="00292718" w:rsidRDefault="00AC1BD1" w:rsidP="001123DA">
            <w:pPr>
              <w:spacing w:before="100" w:beforeAutospacing="1" w:after="100" w:afterAutospacing="1"/>
              <w:rPr>
                <w:lang w:val="en-GB"/>
              </w:rPr>
            </w:pPr>
          </w:p>
        </w:tc>
        <w:tc>
          <w:tcPr>
            <w:tcW w:w="3499" w:type="dxa"/>
          </w:tcPr>
          <w:p w14:paraId="7CDBA76A" w14:textId="77777777" w:rsidR="009B41C7" w:rsidRPr="00292718" w:rsidRDefault="008E1D4C" w:rsidP="001123DA">
            <w:pPr>
              <w:spacing w:before="100" w:beforeAutospacing="1" w:after="100" w:afterAutospacing="1"/>
              <w:rPr>
                <w:lang w:val="en-GB"/>
              </w:rPr>
            </w:pPr>
            <w:r w:rsidRPr="00292718">
              <w:rPr>
                <w:lang w:val="en-GB"/>
              </w:rPr>
              <w:lastRenderedPageBreak/>
              <w:t>Involvement of the institution for comments is not clear. (Output 7)</w:t>
            </w:r>
          </w:p>
        </w:tc>
        <w:tc>
          <w:tcPr>
            <w:tcW w:w="3499" w:type="dxa"/>
          </w:tcPr>
          <w:p w14:paraId="11B28000" w14:textId="77777777" w:rsidR="00D5213C" w:rsidRPr="00292718" w:rsidRDefault="00D5213C" w:rsidP="001123DA">
            <w:pPr>
              <w:pStyle w:val="a8"/>
              <w:numPr>
                <w:ilvl w:val="0"/>
                <w:numId w:val="10"/>
              </w:numPr>
              <w:spacing w:before="100" w:beforeAutospacing="1" w:after="100" w:afterAutospacing="1"/>
              <w:rPr>
                <w:lang w:val="en-GB"/>
              </w:rPr>
            </w:pPr>
            <w:r w:rsidRPr="00292718">
              <w:rPr>
                <w:lang w:val="en-GB"/>
              </w:rPr>
              <w:t>HEIs should be given more time to familiarise themselves with and comment on the initial expert report in order to fulfil the whole purpose of commenting: it should not only be a formal procedure but be conducive to producing a high-quality report.</w:t>
            </w:r>
          </w:p>
          <w:p w14:paraId="07E54876" w14:textId="77777777" w:rsidR="000A2EF9" w:rsidRPr="00292718" w:rsidRDefault="00683C1E" w:rsidP="001123DA">
            <w:pPr>
              <w:pStyle w:val="a8"/>
              <w:numPr>
                <w:ilvl w:val="0"/>
                <w:numId w:val="10"/>
              </w:numPr>
              <w:spacing w:before="100" w:beforeAutospacing="1" w:after="100" w:afterAutospacing="1"/>
              <w:rPr>
                <w:lang w:val="en-GB"/>
              </w:rPr>
            </w:pPr>
            <w:r w:rsidRPr="00292718">
              <w:rPr>
                <w:lang w:val="en-GB"/>
              </w:rPr>
              <w:t xml:space="preserve">Increase the awareness of external stakeholder groups (employers) </w:t>
            </w:r>
            <w:r w:rsidR="00075930" w:rsidRPr="00292718">
              <w:rPr>
                <w:lang w:val="en-GB"/>
              </w:rPr>
              <w:t xml:space="preserve">about </w:t>
            </w:r>
            <w:r w:rsidR="00F3645F" w:rsidRPr="00292718">
              <w:rPr>
                <w:lang w:val="en-GB"/>
              </w:rPr>
              <w:t>the</w:t>
            </w:r>
            <w:r w:rsidR="00075930" w:rsidRPr="00292718">
              <w:rPr>
                <w:lang w:val="en-GB"/>
              </w:rPr>
              <w:t xml:space="preserve"> accreditation </w:t>
            </w:r>
            <w:r w:rsidRPr="00292718">
              <w:rPr>
                <w:lang w:val="en-GB"/>
              </w:rPr>
              <w:t>system</w:t>
            </w:r>
            <w:r w:rsidR="002B4872" w:rsidRPr="00292718">
              <w:rPr>
                <w:lang w:val="en-GB"/>
              </w:rPr>
              <w:t>, its purpose</w:t>
            </w:r>
            <w:r w:rsidRPr="00292718">
              <w:rPr>
                <w:lang w:val="en-GB"/>
              </w:rPr>
              <w:t xml:space="preserve"> and results in Azerbaijan.</w:t>
            </w:r>
            <w:r w:rsidR="00A0014A" w:rsidRPr="00292718">
              <w:rPr>
                <w:lang w:val="en-GB"/>
              </w:rPr>
              <w:t xml:space="preserve"> </w:t>
            </w:r>
          </w:p>
          <w:p w14:paraId="02197CC9" w14:textId="77777777" w:rsidR="009B41C7" w:rsidRPr="00292718" w:rsidRDefault="00CF6353" w:rsidP="001123DA">
            <w:pPr>
              <w:pStyle w:val="a8"/>
              <w:spacing w:before="100" w:beforeAutospacing="1" w:after="100" w:afterAutospacing="1"/>
              <w:ind w:left="360"/>
              <w:rPr>
                <w:lang w:val="en-GB"/>
              </w:rPr>
            </w:pPr>
            <w:r w:rsidRPr="00292718">
              <w:rPr>
                <w:lang w:val="en-GB"/>
              </w:rPr>
              <w:t xml:space="preserve">One way of doing this is </w:t>
            </w:r>
            <w:r w:rsidR="000A2EF9" w:rsidRPr="00292718">
              <w:rPr>
                <w:lang w:val="en-GB"/>
              </w:rPr>
              <w:t>to in</w:t>
            </w:r>
            <w:r w:rsidR="00D5213C" w:rsidRPr="00292718">
              <w:rPr>
                <w:lang w:val="en-GB"/>
              </w:rPr>
              <w:t>v</w:t>
            </w:r>
            <w:r w:rsidR="000A2EF9" w:rsidRPr="00292718">
              <w:rPr>
                <w:lang w:val="en-GB"/>
              </w:rPr>
              <w:t>olve</w:t>
            </w:r>
            <w:r w:rsidRPr="00292718">
              <w:rPr>
                <w:lang w:val="en-GB"/>
              </w:rPr>
              <w:t xml:space="preserve"> employers in accreditation co</w:t>
            </w:r>
            <w:r w:rsidR="000A2EF9" w:rsidRPr="00292718">
              <w:rPr>
                <w:lang w:val="en-GB"/>
              </w:rPr>
              <w:t>m</w:t>
            </w:r>
            <w:r w:rsidRPr="00292718">
              <w:rPr>
                <w:lang w:val="en-GB"/>
              </w:rPr>
              <w:t xml:space="preserve">missions. As </w:t>
            </w:r>
            <w:r w:rsidR="000A2EF9" w:rsidRPr="00292718">
              <w:rPr>
                <w:lang w:val="en-GB"/>
              </w:rPr>
              <w:t xml:space="preserve">the </w:t>
            </w:r>
            <w:r w:rsidRPr="00292718">
              <w:rPr>
                <w:lang w:val="en-GB"/>
              </w:rPr>
              <w:t>understanding of how employers can impact the content and quality of curricula</w:t>
            </w:r>
            <w:r w:rsidR="000A2EF9" w:rsidRPr="00292718">
              <w:rPr>
                <w:lang w:val="en-GB"/>
              </w:rPr>
              <w:t xml:space="preserve"> gradually develops among them</w:t>
            </w:r>
            <w:r w:rsidRPr="00292718">
              <w:rPr>
                <w:lang w:val="en-GB"/>
              </w:rPr>
              <w:t>,</w:t>
            </w:r>
            <w:r w:rsidR="000A2EF9" w:rsidRPr="00292718">
              <w:rPr>
                <w:lang w:val="en-GB"/>
              </w:rPr>
              <w:t xml:space="preserve"> </w:t>
            </w:r>
            <w:r w:rsidR="000A2EF9" w:rsidRPr="00292718">
              <w:rPr>
                <w:lang w:val="en-GB"/>
              </w:rPr>
              <w:lastRenderedPageBreak/>
              <w:t>the interest in participating in the accreditation process will also slowly increase. This in turn will boost the collaboration between institutions and the industry.</w:t>
            </w:r>
          </w:p>
        </w:tc>
      </w:tr>
      <w:tr w:rsidR="009B41C7" w:rsidRPr="00292718" w14:paraId="0C86B1E7" w14:textId="77777777" w:rsidTr="002901AB">
        <w:tc>
          <w:tcPr>
            <w:tcW w:w="3498" w:type="dxa"/>
          </w:tcPr>
          <w:p w14:paraId="4EE445C2" w14:textId="5429CFC2" w:rsidR="009B41C7" w:rsidRPr="00292718" w:rsidRDefault="009B1EC1" w:rsidP="002901AB">
            <w:pPr>
              <w:rPr>
                <w:b/>
                <w:i/>
                <w:lang w:val="en-GB"/>
              </w:rPr>
            </w:pPr>
            <w:r w:rsidRPr="00292718">
              <w:rPr>
                <w:b/>
                <w:i/>
                <w:lang w:val="en-GB"/>
              </w:rPr>
              <w:lastRenderedPageBreak/>
              <w:t>2</w:t>
            </w:r>
            <w:r w:rsidR="00FE273C" w:rsidRPr="00292718">
              <w:rPr>
                <w:b/>
                <w:i/>
                <w:lang w:val="en-GB"/>
              </w:rPr>
              <w:t xml:space="preserve">.7 Complaints and appeals </w:t>
            </w:r>
          </w:p>
        </w:tc>
        <w:tc>
          <w:tcPr>
            <w:tcW w:w="3498" w:type="dxa"/>
          </w:tcPr>
          <w:p w14:paraId="2655119F" w14:textId="25D0CC27" w:rsidR="009B41C7" w:rsidRPr="00292718" w:rsidRDefault="009058ED" w:rsidP="001123DA">
            <w:pPr>
              <w:spacing w:before="100" w:beforeAutospacing="1" w:after="100" w:afterAutospacing="1"/>
              <w:rPr>
                <w:lang w:val="en-GB"/>
              </w:rPr>
            </w:pPr>
            <w:r w:rsidRPr="00292718">
              <w:rPr>
                <w:bCs/>
                <w:lang w:val="en-GB"/>
              </w:rPr>
              <w:t xml:space="preserve">The accreditation rules </w:t>
            </w:r>
            <w:r w:rsidR="00B16466">
              <w:rPr>
                <w:bCs/>
                <w:lang w:val="en-GB"/>
              </w:rPr>
              <w:t xml:space="preserve">foresee a </w:t>
            </w:r>
            <w:r w:rsidR="00C13682" w:rsidRPr="00292718">
              <w:rPr>
                <w:bCs/>
                <w:lang w:val="en-GB"/>
              </w:rPr>
              <w:t xml:space="preserve"> procedure for appeals. It is specified</w:t>
            </w:r>
            <w:r w:rsidRPr="00292718">
              <w:rPr>
                <w:bCs/>
                <w:lang w:val="en-GB"/>
              </w:rPr>
              <w:t xml:space="preserve"> that an educational institution can appeal against the negative accreditation decision. The appeal is made against the Accreditation Commission.</w:t>
            </w:r>
          </w:p>
        </w:tc>
        <w:tc>
          <w:tcPr>
            <w:tcW w:w="3499" w:type="dxa"/>
          </w:tcPr>
          <w:p w14:paraId="2891DB0D" w14:textId="77777777" w:rsidR="009B41C7" w:rsidRPr="00292718" w:rsidRDefault="008E1D4C" w:rsidP="001123DA">
            <w:pPr>
              <w:spacing w:before="100" w:beforeAutospacing="1" w:after="100" w:afterAutospacing="1"/>
              <w:rPr>
                <w:color w:val="FFC000"/>
                <w:lang w:val="en-GB"/>
              </w:rPr>
            </w:pPr>
            <w:r w:rsidRPr="00292718">
              <w:rPr>
                <w:lang w:val="en-GB"/>
              </w:rPr>
              <w:t>No evidence in the rules and regulations. (Output 7)</w:t>
            </w:r>
          </w:p>
        </w:tc>
        <w:tc>
          <w:tcPr>
            <w:tcW w:w="3499" w:type="dxa"/>
          </w:tcPr>
          <w:p w14:paraId="0F495D23" w14:textId="0A694A6E" w:rsidR="009B41C7" w:rsidRPr="00292718" w:rsidRDefault="009058ED" w:rsidP="00456A6A">
            <w:pPr>
              <w:pStyle w:val="a8"/>
              <w:numPr>
                <w:ilvl w:val="0"/>
                <w:numId w:val="8"/>
              </w:numPr>
              <w:spacing w:before="100" w:beforeAutospacing="1" w:after="100" w:afterAutospacing="1"/>
              <w:rPr>
                <w:lang w:val="en-GB"/>
              </w:rPr>
            </w:pPr>
            <w:r w:rsidRPr="00292718">
              <w:rPr>
                <w:bCs/>
                <w:lang w:val="en-GB"/>
              </w:rPr>
              <w:t>It must be pointed out that this appears to be a rather uncommon/unusual practice that experts themselves c</w:t>
            </w:r>
            <w:r w:rsidR="00C13682" w:rsidRPr="00292718">
              <w:rPr>
                <w:bCs/>
                <w:lang w:val="en-GB"/>
              </w:rPr>
              <w:t xml:space="preserve">an be sued in the court of law, and it is advisable to revise the current procedure. </w:t>
            </w:r>
            <w:r w:rsidRPr="00292718">
              <w:rPr>
                <w:bCs/>
                <w:lang w:val="en-GB"/>
              </w:rPr>
              <w:t xml:space="preserve">Instead, the agency or authority </w:t>
            </w:r>
            <w:proofErr w:type="gramStart"/>
            <w:r w:rsidRPr="00292718">
              <w:rPr>
                <w:bCs/>
                <w:lang w:val="en-GB"/>
              </w:rPr>
              <w:t>who</w:t>
            </w:r>
            <w:proofErr w:type="gramEnd"/>
            <w:r w:rsidRPr="00292718">
              <w:rPr>
                <w:bCs/>
                <w:lang w:val="en-GB"/>
              </w:rPr>
              <w:t xml:space="preserve"> makes the final accreditation decision (in this case the Accreditation Council, the Ministry of Education) should be appealed against. The experts only provide independent expertise at the request of the Ministry and should not be held responsible for the negative proposals for accreditation decisions they make.</w:t>
            </w:r>
          </w:p>
        </w:tc>
      </w:tr>
    </w:tbl>
    <w:p w14:paraId="2663A883" w14:textId="77777777" w:rsidR="002901AB" w:rsidRPr="00292718" w:rsidRDefault="002901AB">
      <w:pPr>
        <w:rPr>
          <w:b/>
          <w:lang w:val="en-GB"/>
        </w:rPr>
      </w:pPr>
    </w:p>
    <w:sectPr w:rsidR="002901AB" w:rsidRPr="00292718" w:rsidSect="00456A6A">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62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DFFDC1" w15:done="0"/>
  <w15:commentEx w15:paraId="4F925C94" w15:done="0"/>
  <w15:commentEx w15:paraId="25CE01B0" w15:done="0"/>
  <w15:commentEx w15:paraId="5E8FCB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A8A5F" w14:textId="77777777" w:rsidR="00FF5573" w:rsidRDefault="00FF5573" w:rsidP="00915E7E">
      <w:pPr>
        <w:spacing w:after="0" w:line="240" w:lineRule="auto"/>
      </w:pPr>
      <w:r>
        <w:separator/>
      </w:r>
    </w:p>
  </w:endnote>
  <w:endnote w:type="continuationSeparator" w:id="0">
    <w:p w14:paraId="22386302" w14:textId="77777777" w:rsidR="00FF5573" w:rsidRDefault="00FF5573" w:rsidP="00915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80838" w14:textId="77777777" w:rsidR="005A34B9" w:rsidRDefault="005A34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16477" w14:textId="77777777" w:rsidR="005A34B9" w:rsidRDefault="005A34B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AD6FE" w14:textId="77777777" w:rsidR="005A34B9" w:rsidRDefault="005A34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13438" w14:textId="77777777" w:rsidR="00FF5573" w:rsidRDefault="00FF5573" w:rsidP="00915E7E">
      <w:pPr>
        <w:spacing w:after="0" w:line="240" w:lineRule="auto"/>
      </w:pPr>
      <w:r>
        <w:separator/>
      </w:r>
    </w:p>
  </w:footnote>
  <w:footnote w:type="continuationSeparator" w:id="0">
    <w:p w14:paraId="44AB5C29" w14:textId="77777777" w:rsidR="00FF5573" w:rsidRDefault="00FF5573" w:rsidP="00915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DAE6F" w14:textId="77777777" w:rsidR="005A34B9" w:rsidRDefault="005A34B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ACDD0" w14:textId="5DCF368A" w:rsidR="00AE7A00" w:rsidRPr="00CB5040" w:rsidRDefault="005A34B9">
    <w:pPr>
      <w:pStyle w:val="a3"/>
      <w:rPr>
        <w:rFonts w:ascii="Times New Roman" w:hAnsi="Times New Roman" w:cs="Times New Roman"/>
        <w:i/>
        <w:sz w:val="24"/>
        <w:szCs w:val="24"/>
        <w:lang w:val="et-EE"/>
      </w:rPr>
    </w:pPr>
    <w:r w:rsidRPr="005A34B9">
      <w:rPr>
        <w:rFonts w:ascii="Times New Roman" w:hAnsi="Times New Roman" w:cs="Times New Roman"/>
        <w:i/>
        <w:sz w:val="24"/>
        <w:szCs w:val="24"/>
        <w:lang w:val="et-EE"/>
      </w:rPr>
      <w:t>A</w:t>
    </w:r>
    <w:r w:rsidR="00AD4C99">
      <w:rPr>
        <w:rFonts w:ascii="Times New Roman" w:hAnsi="Times New Roman" w:cs="Times New Roman"/>
        <w:i/>
        <w:sz w:val="24"/>
        <w:szCs w:val="24"/>
        <w:lang w:val="et-EE"/>
      </w:rPr>
      <w:t>nnex to the Mission Report of Activity</w:t>
    </w:r>
    <w:bookmarkStart w:id="0" w:name="_GoBack"/>
    <w:bookmarkEnd w:id="0"/>
    <w:r w:rsidRPr="005A34B9">
      <w:rPr>
        <w:rFonts w:ascii="Times New Roman" w:hAnsi="Times New Roman" w:cs="Times New Roman"/>
        <w:i/>
        <w:sz w:val="24"/>
        <w:szCs w:val="24"/>
        <w:lang w:val="et-EE"/>
      </w:rPr>
      <w:t xml:space="preserve"> </w:t>
    </w:r>
    <w:r>
      <w:rPr>
        <w:rFonts w:ascii="Times New Roman" w:hAnsi="Times New Roman" w:cs="Times New Roman"/>
        <w:i/>
        <w:sz w:val="24"/>
        <w:szCs w:val="24"/>
        <w:lang w:val="et-EE"/>
      </w:rPr>
      <w:t>4.2</w:t>
    </w:r>
    <w:r w:rsidRPr="005A34B9">
      <w:rPr>
        <w:rFonts w:ascii="Times New Roman" w:hAnsi="Times New Roman" w:cs="Times New Roman"/>
        <w:i/>
        <w:sz w:val="24"/>
        <w:szCs w:val="24"/>
        <w:lang w:val="et-EE"/>
      </w:rPr>
      <w:t>: Mapping of Current Accreditation and Quality Assurance Practice/Gap Analysis against the European Standards and Guidelines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08AB7" w14:textId="77777777" w:rsidR="005A34B9" w:rsidRDefault="005A34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D62"/>
    <w:multiLevelType w:val="hybridMultilevel"/>
    <w:tmpl w:val="764EEEF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nsid w:val="0FB253EF"/>
    <w:multiLevelType w:val="hybridMultilevel"/>
    <w:tmpl w:val="86FAA98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nsid w:val="19EC3474"/>
    <w:multiLevelType w:val="hybridMultilevel"/>
    <w:tmpl w:val="294C9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1F041FEC"/>
    <w:multiLevelType w:val="hybridMultilevel"/>
    <w:tmpl w:val="614AD4C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nsid w:val="273A2866"/>
    <w:multiLevelType w:val="hybridMultilevel"/>
    <w:tmpl w:val="8F5C258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nsid w:val="295732C4"/>
    <w:multiLevelType w:val="hybridMultilevel"/>
    <w:tmpl w:val="82D0E2B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nsid w:val="39EB2A92"/>
    <w:multiLevelType w:val="hybridMultilevel"/>
    <w:tmpl w:val="EE34DF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3CF132FA"/>
    <w:multiLevelType w:val="hybridMultilevel"/>
    <w:tmpl w:val="A95A4F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41226704"/>
    <w:multiLevelType w:val="hybridMultilevel"/>
    <w:tmpl w:val="9D1487F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nsid w:val="44EB3286"/>
    <w:multiLevelType w:val="hybridMultilevel"/>
    <w:tmpl w:val="8C74C996"/>
    <w:lvl w:ilvl="0" w:tplc="04250001">
      <w:start w:val="1"/>
      <w:numFmt w:val="bullet"/>
      <w:lvlText w:val=""/>
      <w:lvlJc w:val="left"/>
      <w:pPr>
        <w:ind w:left="-1779" w:hanging="360"/>
      </w:pPr>
      <w:rPr>
        <w:rFonts w:ascii="Symbol" w:hAnsi="Symbol" w:hint="default"/>
      </w:rPr>
    </w:lvl>
    <w:lvl w:ilvl="1" w:tplc="04250003" w:tentative="1">
      <w:start w:val="1"/>
      <w:numFmt w:val="bullet"/>
      <w:lvlText w:val="o"/>
      <w:lvlJc w:val="left"/>
      <w:pPr>
        <w:ind w:left="-1059" w:hanging="360"/>
      </w:pPr>
      <w:rPr>
        <w:rFonts w:ascii="Courier New" w:hAnsi="Courier New" w:cs="Courier New" w:hint="default"/>
      </w:rPr>
    </w:lvl>
    <w:lvl w:ilvl="2" w:tplc="04250005" w:tentative="1">
      <w:start w:val="1"/>
      <w:numFmt w:val="bullet"/>
      <w:lvlText w:val=""/>
      <w:lvlJc w:val="left"/>
      <w:pPr>
        <w:ind w:left="-339" w:hanging="360"/>
      </w:pPr>
      <w:rPr>
        <w:rFonts w:ascii="Wingdings" w:hAnsi="Wingdings" w:hint="default"/>
      </w:rPr>
    </w:lvl>
    <w:lvl w:ilvl="3" w:tplc="04250001" w:tentative="1">
      <w:start w:val="1"/>
      <w:numFmt w:val="bullet"/>
      <w:lvlText w:val=""/>
      <w:lvlJc w:val="left"/>
      <w:pPr>
        <w:ind w:left="381" w:hanging="360"/>
      </w:pPr>
      <w:rPr>
        <w:rFonts w:ascii="Symbol" w:hAnsi="Symbol" w:hint="default"/>
      </w:rPr>
    </w:lvl>
    <w:lvl w:ilvl="4" w:tplc="04250003" w:tentative="1">
      <w:start w:val="1"/>
      <w:numFmt w:val="bullet"/>
      <w:lvlText w:val="o"/>
      <w:lvlJc w:val="left"/>
      <w:pPr>
        <w:ind w:left="1101" w:hanging="360"/>
      </w:pPr>
      <w:rPr>
        <w:rFonts w:ascii="Courier New" w:hAnsi="Courier New" w:cs="Courier New" w:hint="default"/>
      </w:rPr>
    </w:lvl>
    <w:lvl w:ilvl="5" w:tplc="04250005" w:tentative="1">
      <w:start w:val="1"/>
      <w:numFmt w:val="bullet"/>
      <w:lvlText w:val=""/>
      <w:lvlJc w:val="left"/>
      <w:pPr>
        <w:ind w:left="1821" w:hanging="360"/>
      </w:pPr>
      <w:rPr>
        <w:rFonts w:ascii="Wingdings" w:hAnsi="Wingdings" w:hint="default"/>
      </w:rPr>
    </w:lvl>
    <w:lvl w:ilvl="6" w:tplc="04250001" w:tentative="1">
      <w:start w:val="1"/>
      <w:numFmt w:val="bullet"/>
      <w:lvlText w:val=""/>
      <w:lvlJc w:val="left"/>
      <w:pPr>
        <w:ind w:left="2541" w:hanging="360"/>
      </w:pPr>
      <w:rPr>
        <w:rFonts w:ascii="Symbol" w:hAnsi="Symbol" w:hint="default"/>
      </w:rPr>
    </w:lvl>
    <w:lvl w:ilvl="7" w:tplc="04250003" w:tentative="1">
      <w:start w:val="1"/>
      <w:numFmt w:val="bullet"/>
      <w:lvlText w:val="o"/>
      <w:lvlJc w:val="left"/>
      <w:pPr>
        <w:ind w:left="3261" w:hanging="360"/>
      </w:pPr>
      <w:rPr>
        <w:rFonts w:ascii="Courier New" w:hAnsi="Courier New" w:cs="Courier New" w:hint="default"/>
      </w:rPr>
    </w:lvl>
    <w:lvl w:ilvl="8" w:tplc="04250005" w:tentative="1">
      <w:start w:val="1"/>
      <w:numFmt w:val="bullet"/>
      <w:lvlText w:val=""/>
      <w:lvlJc w:val="left"/>
      <w:pPr>
        <w:ind w:left="3981" w:hanging="360"/>
      </w:pPr>
      <w:rPr>
        <w:rFonts w:ascii="Wingdings" w:hAnsi="Wingdings" w:hint="default"/>
      </w:rPr>
    </w:lvl>
  </w:abstractNum>
  <w:abstractNum w:abstractNumId="10">
    <w:nsid w:val="4CB33AFB"/>
    <w:multiLevelType w:val="hybridMultilevel"/>
    <w:tmpl w:val="E2A6B62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nsid w:val="57C20908"/>
    <w:multiLevelType w:val="hybridMultilevel"/>
    <w:tmpl w:val="20BACD5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nsid w:val="5A717951"/>
    <w:multiLevelType w:val="hybridMultilevel"/>
    <w:tmpl w:val="D6B44F6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nsid w:val="638A713E"/>
    <w:multiLevelType w:val="hybridMultilevel"/>
    <w:tmpl w:val="E432CD9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nsid w:val="74FB0669"/>
    <w:multiLevelType w:val="hybridMultilevel"/>
    <w:tmpl w:val="621667EA"/>
    <w:lvl w:ilvl="0" w:tplc="FF169A14">
      <w:start w:val="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76532A75"/>
    <w:multiLevelType w:val="hybridMultilevel"/>
    <w:tmpl w:val="A06CDF0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nsid w:val="77984E31"/>
    <w:multiLevelType w:val="hybridMultilevel"/>
    <w:tmpl w:val="F57E65D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nsid w:val="7D4E6D73"/>
    <w:multiLevelType w:val="hybridMultilevel"/>
    <w:tmpl w:val="32A08CA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14"/>
  </w:num>
  <w:num w:numId="2">
    <w:abstractNumId w:val="15"/>
  </w:num>
  <w:num w:numId="3">
    <w:abstractNumId w:val="6"/>
  </w:num>
  <w:num w:numId="4">
    <w:abstractNumId w:val="11"/>
  </w:num>
  <w:num w:numId="5">
    <w:abstractNumId w:val="10"/>
  </w:num>
  <w:num w:numId="6">
    <w:abstractNumId w:val="0"/>
  </w:num>
  <w:num w:numId="7">
    <w:abstractNumId w:val="9"/>
  </w:num>
  <w:num w:numId="8">
    <w:abstractNumId w:val="1"/>
  </w:num>
  <w:num w:numId="9">
    <w:abstractNumId w:val="7"/>
  </w:num>
  <w:num w:numId="10">
    <w:abstractNumId w:val="12"/>
  </w:num>
  <w:num w:numId="11">
    <w:abstractNumId w:val="8"/>
  </w:num>
  <w:num w:numId="12">
    <w:abstractNumId w:val="13"/>
  </w:num>
  <w:num w:numId="13">
    <w:abstractNumId w:val="3"/>
  </w:num>
  <w:num w:numId="14">
    <w:abstractNumId w:val="16"/>
  </w:num>
  <w:num w:numId="15">
    <w:abstractNumId w:val="4"/>
  </w:num>
  <w:num w:numId="16">
    <w:abstractNumId w:val="17"/>
  </w:num>
  <w:num w:numId="17">
    <w:abstractNumId w:val="2"/>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oaho Kati">
    <w15:presenceInfo w15:providerId="AD" w15:userId="S-1-5-21-3831953313-1345771258-598444090-1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7E"/>
    <w:rsid w:val="00012FFB"/>
    <w:rsid w:val="00013633"/>
    <w:rsid w:val="00020A1E"/>
    <w:rsid w:val="000330B7"/>
    <w:rsid w:val="00037100"/>
    <w:rsid w:val="0006361A"/>
    <w:rsid w:val="00075930"/>
    <w:rsid w:val="00086429"/>
    <w:rsid w:val="000A0E7F"/>
    <w:rsid w:val="000A2EF9"/>
    <w:rsid w:val="000B32CE"/>
    <w:rsid w:val="000C5FC1"/>
    <w:rsid w:val="000F1B34"/>
    <w:rsid w:val="001123DA"/>
    <w:rsid w:val="001247B1"/>
    <w:rsid w:val="001521C9"/>
    <w:rsid w:val="00163597"/>
    <w:rsid w:val="00165E9C"/>
    <w:rsid w:val="0017750B"/>
    <w:rsid w:val="00185F30"/>
    <w:rsid w:val="00191313"/>
    <w:rsid w:val="00192B61"/>
    <w:rsid w:val="00196755"/>
    <w:rsid w:val="001B36F7"/>
    <w:rsid w:val="001C51FA"/>
    <w:rsid w:val="001C58B6"/>
    <w:rsid w:val="001D0D91"/>
    <w:rsid w:val="002312C2"/>
    <w:rsid w:val="002743FD"/>
    <w:rsid w:val="002901AB"/>
    <w:rsid w:val="00292718"/>
    <w:rsid w:val="002B4872"/>
    <w:rsid w:val="002E3D50"/>
    <w:rsid w:val="002E5DFD"/>
    <w:rsid w:val="003013DF"/>
    <w:rsid w:val="0031664A"/>
    <w:rsid w:val="003201E2"/>
    <w:rsid w:val="00320827"/>
    <w:rsid w:val="0032097B"/>
    <w:rsid w:val="003242FB"/>
    <w:rsid w:val="00386E80"/>
    <w:rsid w:val="003945E9"/>
    <w:rsid w:val="003E02C5"/>
    <w:rsid w:val="003F698E"/>
    <w:rsid w:val="004102F2"/>
    <w:rsid w:val="00417E6D"/>
    <w:rsid w:val="00423FA2"/>
    <w:rsid w:val="00424F94"/>
    <w:rsid w:val="004403B6"/>
    <w:rsid w:val="004505E5"/>
    <w:rsid w:val="00453F69"/>
    <w:rsid w:val="00456A6A"/>
    <w:rsid w:val="004751A3"/>
    <w:rsid w:val="004762BF"/>
    <w:rsid w:val="0048001F"/>
    <w:rsid w:val="004A7785"/>
    <w:rsid w:val="00541468"/>
    <w:rsid w:val="00554AD6"/>
    <w:rsid w:val="00560430"/>
    <w:rsid w:val="00576D9A"/>
    <w:rsid w:val="00584141"/>
    <w:rsid w:val="0059011F"/>
    <w:rsid w:val="005A34B9"/>
    <w:rsid w:val="005E1EA7"/>
    <w:rsid w:val="00612007"/>
    <w:rsid w:val="00616408"/>
    <w:rsid w:val="00626B33"/>
    <w:rsid w:val="00627D1F"/>
    <w:rsid w:val="00627D88"/>
    <w:rsid w:val="00651B9B"/>
    <w:rsid w:val="0065223F"/>
    <w:rsid w:val="00663F18"/>
    <w:rsid w:val="006737E7"/>
    <w:rsid w:val="00683C1E"/>
    <w:rsid w:val="006900D2"/>
    <w:rsid w:val="006972A0"/>
    <w:rsid w:val="006C5E23"/>
    <w:rsid w:val="006C6FB2"/>
    <w:rsid w:val="006E3FC9"/>
    <w:rsid w:val="007008B3"/>
    <w:rsid w:val="00734209"/>
    <w:rsid w:val="00761041"/>
    <w:rsid w:val="007622EF"/>
    <w:rsid w:val="00774669"/>
    <w:rsid w:val="00796550"/>
    <w:rsid w:val="007A0820"/>
    <w:rsid w:val="007B783B"/>
    <w:rsid w:val="007D0D0E"/>
    <w:rsid w:val="007F0514"/>
    <w:rsid w:val="007F397B"/>
    <w:rsid w:val="007F3B64"/>
    <w:rsid w:val="00802375"/>
    <w:rsid w:val="00807656"/>
    <w:rsid w:val="00812863"/>
    <w:rsid w:val="00820E92"/>
    <w:rsid w:val="008609BB"/>
    <w:rsid w:val="00876530"/>
    <w:rsid w:val="00877300"/>
    <w:rsid w:val="00890890"/>
    <w:rsid w:val="008E1D4C"/>
    <w:rsid w:val="008E74AF"/>
    <w:rsid w:val="008F2800"/>
    <w:rsid w:val="009058ED"/>
    <w:rsid w:val="00915E7E"/>
    <w:rsid w:val="00917360"/>
    <w:rsid w:val="00924311"/>
    <w:rsid w:val="00942714"/>
    <w:rsid w:val="00957757"/>
    <w:rsid w:val="009B1EC1"/>
    <w:rsid w:val="009B41C7"/>
    <w:rsid w:val="009F23D3"/>
    <w:rsid w:val="00A0014A"/>
    <w:rsid w:val="00A07920"/>
    <w:rsid w:val="00A2673F"/>
    <w:rsid w:val="00A34934"/>
    <w:rsid w:val="00A56FB1"/>
    <w:rsid w:val="00A64F25"/>
    <w:rsid w:val="00A81CF7"/>
    <w:rsid w:val="00A94A2D"/>
    <w:rsid w:val="00AB6F8D"/>
    <w:rsid w:val="00AC1BD1"/>
    <w:rsid w:val="00AC4CB3"/>
    <w:rsid w:val="00AD4C99"/>
    <w:rsid w:val="00AD5464"/>
    <w:rsid w:val="00AD64B9"/>
    <w:rsid w:val="00AE0F5A"/>
    <w:rsid w:val="00AE7A00"/>
    <w:rsid w:val="00B16466"/>
    <w:rsid w:val="00B3022E"/>
    <w:rsid w:val="00B60798"/>
    <w:rsid w:val="00B63999"/>
    <w:rsid w:val="00B651AA"/>
    <w:rsid w:val="00B66BA8"/>
    <w:rsid w:val="00B9024A"/>
    <w:rsid w:val="00BB0110"/>
    <w:rsid w:val="00BE7D23"/>
    <w:rsid w:val="00C06482"/>
    <w:rsid w:val="00C10486"/>
    <w:rsid w:val="00C114CF"/>
    <w:rsid w:val="00C13682"/>
    <w:rsid w:val="00C17D54"/>
    <w:rsid w:val="00C25CBA"/>
    <w:rsid w:val="00C35159"/>
    <w:rsid w:val="00C43FD7"/>
    <w:rsid w:val="00C80074"/>
    <w:rsid w:val="00CB5040"/>
    <w:rsid w:val="00CD4821"/>
    <w:rsid w:val="00CE0220"/>
    <w:rsid w:val="00CF6353"/>
    <w:rsid w:val="00D03BF3"/>
    <w:rsid w:val="00D06DB7"/>
    <w:rsid w:val="00D34EAA"/>
    <w:rsid w:val="00D5213C"/>
    <w:rsid w:val="00D54B28"/>
    <w:rsid w:val="00D96558"/>
    <w:rsid w:val="00DB29E7"/>
    <w:rsid w:val="00DB4BCF"/>
    <w:rsid w:val="00DB7511"/>
    <w:rsid w:val="00DC29A0"/>
    <w:rsid w:val="00DF09F1"/>
    <w:rsid w:val="00DF0E67"/>
    <w:rsid w:val="00DF419D"/>
    <w:rsid w:val="00E10F8F"/>
    <w:rsid w:val="00E21DF6"/>
    <w:rsid w:val="00E3071C"/>
    <w:rsid w:val="00E36132"/>
    <w:rsid w:val="00E4516E"/>
    <w:rsid w:val="00E553FE"/>
    <w:rsid w:val="00E83FF0"/>
    <w:rsid w:val="00E94C4E"/>
    <w:rsid w:val="00EA3EAA"/>
    <w:rsid w:val="00ED2655"/>
    <w:rsid w:val="00EE6D47"/>
    <w:rsid w:val="00EF07DC"/>
    <w:rsid w:val="00F042CE"/>
    <w:rsid w:val="00F163EE"/>
    <w:rsid w:val="00F16CF2"/>
    <w:rsid w:val="00F3645F"/>
    <w:rsid w:val="00F572D7"/>
    <w:rsid w:val="00F65B29"/>
    <w:rsid w:val="00F83E26"/>
    <w:rsid w:val="00F8425F"/>
    <w:rsid w:val="00FC33A3"/>
    <w:rsid w:val="00FD17AA"/>
    <w:rsid w:val="00FE273C"/>
    <w:rsid w:val="00FF0181"/>
    <w:rsid w:val="00FF10A9"/>
    <w:rsid w:val="00FF55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A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E7E"/>
    <w:pPr>
      <w:tabs>
        <w:tab w:val="center" w:pos="4819"/>
        <w:tab w:val="right" w:pos="9638"/>
      </w:tabs>
      <w:spacing w:after="0" w:line="240" w:lineRule="auto"/>
    </w:pPr>
  </w:style>
  <w:style w:type="character" w:customStyle="1" w:styleId="a4">
    <w:name w:val="Верхний колонтитул Знак"/>
    <w:basedOn w:val="a0"/>
    <w:link w:val="a3"/>
    <w:uiPriority w:val="99"/>
    <w:rsid w:val="00915E7E"/>
  </w:style>
  <w:style w:type="paragraph" w:styleId="a5">
    <w:name w:val="footer"/>
    <w:basedOn w:val="a"/>
    <w:link w:val="a6"/>
    <w:uiPriority w:val="99"/>
    <w:unhideWhenUsed/>
    <w:rsid w:val="00915E7E"/>
    <w:pPr>
      <w:tabs>
        <w:tab w:val="center" w:pos="4819"/>
        <w:tab w:val="right" w:pos="9638"/>
      </w:tabs>
      <w:spacing w:after="0" w:line="240" w:lineRule="auto"/>
    </w:pPr>
  </w:style>
  <w:style w:type="character" w:customStyle="1" w:styleId="a6">
    <w:name w:val="Нижний колонтитул Знак"/>
    <w:basedOn w:val="a0"/>
    <w:link w:val="a5"/>
    <w:uiPriority w:val="99"/>
    <w:rsid w:val="00915E7E"/>
  </w:style>
  <w:style w:type="table" w:styleId="a7">
    <w:name w:val="Table Grid"/>
    <w:basedOn w:val="a1"/>
    <w:uiPriority w:val="39"/>
    <w:rsid w:val="00915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34209"/>
    <w:pPr>
      <w:ind w:left="720"/>
      <w:contextualSpacing/>
    </w:pPr>
  </w:style>
  <w:style w:type="character" w:styleId="a9">
    <w:name w:val="annotation reference"/>
    <w:basedOn w:val="a0"/>
    <w:uiPriority w:val="99"/>
    <w:semiHidden/>
    <w:unhideWhenUsed/>
    <w:rsid w:val="00A81CF7"/>
    <w:rPr>
      <w:sz w:val="16"/>
      <w:szCs w:val="16"/>
    </w:rPr>
  </w:style>
  <w:style w:type="paragraph" w:styleId="aa">
    <w:name w:val="annotation text"/>
    <w:basedOn w:val="a"/>
    <w:link w:val="ab"/>
    <w:uiPriority w:val="99"/>
    <w:semiHidden/>
    <w:unhideWhenUsed/>
    <w:rsid w:val="00A81CF7"/>
    <w:pPr>
      <w:spacing w:line="240" w:lineRule="auto"/>
    </w:pPr>
    <w:rPr>
      <w:sz w:val="20"/>
      <w:szCs w:val="20"/>
    </w:rPr>
  </w:style>
  <w:style w:type="character" w:customStyle="1" w:styleId="ab">
    <w:name w:val="Текст примечания Знак"/>
    <w:basedOn w:val="a0"/>
    <w:link w:val="aa"/>
    <w:uiPriority w:val="99"/>
    <w:semiHidden/>
    <w:rsid w:val="00A81CF7"/>
    <w:rPr>
      <w:sz w:val="20"/>
      <w:szCs w:val="20"/>
    </w:rPr>
  </w:style>
  <w:style w:type="paragraph" w:styleId="ac">
    <w:name w:val="annotation subject"/>
    <w:basedOn w:val="aa"/>
    <w:next w:val="aa"/>
    <w:link w:val="ad"/>
    <w:uiPriority w:val="99"/>
    <w:semiHidden/>
    <w:unhideWhenUsed/>
    <w:rsid w:val="00A81CF7"/>
    <w:rPr>
      <w:b/>
      <w:bCs/>
    </w:rPr>
  </w:style>
  <w:style w:type="character" w:customStyle="1" w:styleId="ad">
    <w:name w:val="Тема примечания Знак"/>
    <w:basedOn w:val="ab"/>
    <w:link w:val="ac"/>
    <w:uiPriority w:val="99"/>
    <w:semiHidden/>
    <w:rsid w:val="00A81CF7"/>
    <w:rPr>
      <w:b/>
      <w:bCs/>
      <w:sz w:val="20"/>
      <w:szCs w:val="20"/>
    </w:rPr>
  </w:style>
  <w:style w:type="paragraph" w:styleId="ae">
    <w:name w:val="Balloon Text"/>
    <w:basedOn w:val="a"/>
    <w:link w:val="af"/>
    <w:uiPriority w:val="99"/>
    <w:semiHidden/>
    <w:unhideWhenUsed/>
    <w:rsid w:val="00A81C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1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E7E"/>
    <w:pPr>
      <w:tabs>
        <w:tab w:val="center" w:pos="4819"/>
        <w:tab w:val="right" w:pos="9638"/>
      </w:tabs>
      <w:spacing w:after="0" w:line="240" w:lineRule="auto"/>
    </w:pPr>
  </w:style>
  <w:style w:type="character" w:customStyle="1" w:styleId="a4">
    <w:name w:val="Верхний колонтитул Знак"/>
    <w:basedOn w:val="a0"/>
    <w:link w:val="a3"/>
    <w:uiPriority w:val="99"/>
    <w:rsid w:val="00915E7E"/>
  </w:style>
  <w:style w:type="paragraph" w:styleId="a5">
    <w:name w:val="footer"/>
    <w:basedOn w:val="a"/>
    <w:link w:val="a6"/>
    <w:uiPriority w:val="99"/>
    <w:unhideWhenUsed/>
    <w:rsid w:val="00915E7E"/>
    <w:pPr>
      <w:tabs>
        <w:tab w:val="center" w:pos="4819"/>
        <w:tab w:val="right" w:pos="9638"/>
      </w:tabs>
      <w:spacing w:after="0" w:line="240" w:lineRule="auto"/>
    </w:pPr>
  </w:style>
  <w:style w:type="character" w:customStyle="1" w:styleId="a6">
    <w:name w:val="Нижний колонтитул Знак"/>
    <w:basedOn w:val="a0"/>
    <w:link w:val="a5"/>
    <w:uiPriority w:val="99"/>
    <w:rsid w:val="00915E7E"/>
  </w:style>
  <w:style w:type="table" w:styleId="a7">
    <w:name w:val="Table Grid"/>
    <w:basedOn w:val="a1"/>
    <w:uiPriority w:val="39"/>
    <w:rsid w:val="00915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34209"/>
    <w:pPr>
      <w:ind w:left="720"/>
      <w:contextualSpacing/>
    </w:pPr>
  </w:style>
  <w:style w:type="character" w:styleId="a9">
    <w:name w:val="annotation reference"/>
    <w:basedOn w:val="a0"/>
    <w:uiPriority w:val="99"/>
    <w:semiHidden/>
    <w:unhideWhenUsed/>
    <w:rsid w:val="00A81CF7"/>
    <w:rPr>
      <w:sz w:val="16"/>
      <w:szCs w:val="16"/>
    </w:rPr>
  </w:style>
  <w:style w:type="paragraph" w:styleId="aa">
    <w:name w:val="annotation text"/>
    <w:basedOn w:val="a"/>
    <w:link w:val="ab"/>
    <w:uiPriority w:val="99"/>
    <w:semiHidden/>
    <w:unhideWhenUsed/>
    <w:rsid w:val="00A81CF7"/>
    <w:pPr>
      <w:spacing w:line="240" w:lineRule="auto"/>
    </w:pPr>
    <w:rPr>
      <w:sz w:val="20"/>
      <w:szCs w:val="20"/>
    </w:rPr>
  </w:style>
  <w:style w:type="character" w:customStyle="1" w:styleId="ab">
    <w:name w:val="Текст примечания Знак"/>
    <w:basedOn w:val="a0"/>
    <w:link w:val="aa"/>
    <w:uiPriority w:val="99"/>
    <w:semiHidden/>
    <w:rsid w:val="00A81CF7"/>
    <w:rPr>
      <w:sz w:val="20"/>
      <w:szCs w:val="20"/>
    </w:rPr>
  </w:style>
  <w:style w:type="paragraph" w:styleId="ac">
    <w:name w:val="annotation subject"/>
    <w:basedOn w:val="aa"/>
    <w:next w:val="aa"/>
    <w:link w:val="ad"/>
    <w:uiPriority w:val="99"/>
    <w:semiHidden/>
    <w:unhideWhenUsed/>
    <w:rsid w:val="00A81CF7"/>
    <w:rPr>
      <w:b/>
      <w:bCs/>
    </w:rPr>
  </w:style>
  <w:style w:type="character" w:customStyle="1" w:styleId="ad">
    <w:name w:val="Тема примечания Знак"/>
    <w:basedOn w:val="ab"/>
    <w:link w:val="ac"/>
    <w:uiPriority w:val="99"/>
    <w:semiHidden/>
    <w:rsid w:val="00A81CF7"/>
    <w:rPr>
      <w:b/>
      <w:bCs/>
      <w:sz w:val="20"/>
      <w:szCs w:val="20"/>
    </w:rPr>
  </w:style>
  <w:style w:type="paragraph" w:styleId="ae">
    <w:name w:val="Balloon Text"/>
    <w:basedOn w:val="a"/>
    <w:link w:val="af"/>
    <w:uiPriority w:val="99"/>
    <w:semiHidden/>
    <w:unhideWhenUsed/>
    <w:rsid w:val="00A81C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1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703DA-7038-4707-AE32-E794301AE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2781</Words>
  <Characters>15853</Characters>
  <Application>Microsoft Office Word</Application>
  <DocSecurity>0</DocSecurity>
  <Lines>132</Lines>
  <Paragraphs>37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KARVI</Company>
  <LinksUpToDate>false</LinksUpToDate>
  <CharactersWithSpaces>18597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Isoaho Kati</dc:creator>
  <cp:lastModifiedBy>Mammadova</cp:lastModifiedBy>
  <cp:revision>14</cp:revision>
  <dcterms:created xsi:type="dcterms:W3CDTF">2015-12-10T20:18:00Z</dcterms:created>
  <dcterms:modified xsi:type="dcterms:W3CDTF">2016-03-04T10:28:00Z</dcterms:modified>
</cp:coreProperties>
</file>