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ED0" w:rsidRPr="00D02C78" w:rsidRDefault="00F31ED0" w:rsidP="00F31ED0">
      <w:pPr>
        <w:autoSpaceDE w:val="0"/>
        <w:autoSpaceDN w:val="0"/>
        <w:adjustRightInd w:val="0"/>
        <w:spacing w:line="288" w:lineRule="auto"/>
        <w:jc w:val="center"/>
        <w:rPr>
          <w:rFonts w:asciiTheme="minorHAnsi" w:hAnsiTheme="minorHAnsi" w:cs="Lucida Sans Unicode"/>
          <w:b/>
          <w:color w:val="000000"/>
          <w:sz w:val="28"/>
          <w:szCs w:val="28"/>
          <w:lang w:val="en-GB"/>
        </w:rPr>
      </w:pPr>
      <w:bookmarkStart w:id="0" w:name="_GoBack"/>
      <w:bookmarkEnd w:id="0"/>
      <w:r w:rsidRPr="00D02C78">
        <w:rPr>
          <w:rFonts w:asciiTheme="minorHAnsi" w:hAnsiTheme="minorHAnsi" w:cs="Lucida Sans Unicode"/>
          <w:b/>
          <w:color w:val="000000"/>
          <w:sz w:val="28"/>
          <w:szCs w:val="28"/>
          <w:lang w:val="en-GB"/>
        </w:rPr>
        <w:t xml:space="preserve">Order of the President of the Republic of Azerbaijan </w:t>
      </w:r>
    </w:p>
    <w:p w:rsidR="00F31ED0" w:rsidRPr="00D02C78" w:rsidRDefault="00F31ED0" w:rsidP="00F31ED0">
      <w:pPr>
        <w:autoSpaceDE w:val="0"/>
        <w:autoSpaceDN w:val="0"/>
        <w:adjustRightInd w:val="0"/>
        <w:spacing w:line="288" w:lineRule="auto"/>
        <w:jc w:val="center"/>
        <w:rPr>
          <w:rFonts w:asciiTheme="minorHAnsi" w:hAnsiTheme="minorHAnsi" w:cs="Lucida Sans Unicode"/>
          <w:b/>
          <w:color w:val="000000"/>
          <w:sz w:val="28"/>
          <w:szCs w:val="28"/>
          <w:lang w:val="en-GB"/>
        </w:rPr>
      </w:pPr>
      <w:r w:rsidRPr="00D02C78">
        <w:rPr>
          <w:rFonts w:asciiTheme="minorHAnsi" w:hAnsiTheme="minorHAnsi" w:cs="Lucida Sans Unicode"/>
          <w:b/>
          <w:color w:val="000000"/>
          <w:sz w:val="28"/>
          <w:szCs w:val="28"/>
          <w:lang w:val="en-GB"/>
        </w:rPr>
        <w:t>On</w:t>
      </w:r>
    </w:p>
    <w:p w:rsidR="00F31ED0" w:rsidRPr="00143674" w:rsidRDefault="00F31ED0" w:rsidP="00F31ED0">
      <w:pPr>
        <w:autoSpaceDE w:val="0"/>
        <w:autoSpaceDN w:val="0"/>
        <w:adjustRightInd w:val="0"/>
        <w:spacing w:line="288" w:lineRule="auto"/>
        <w:jc w:val="center"/>
        <w:rPr>
          <w:rFonts w:asciiTheme="minorHAnsi" w:hAnsiTheme="minorHAnsi" w:cs="Lucida Sans Unicode"/>
          <w:color w:val="000000"/>
          <w:sz w:val="28"/>
          <w:szCs w:val="28"/>
          <w:lang w:val="en-GB"/>
        </w:rPr>
      </w:pPr>
      <w:r w:rsidRPr="00D02C78">
        <w:rPr>
          <w:rFonts w:asciiTheme="minorHAnsi" w:hAnsiTheme="minorHAnsi" w:cs="Lucida Sans Unicode"/>
          <w:b/>
          <w:color w:val="000000"/>
          <w:sz w:val="28"/>
          <w:szCs w:val="28"/>
          <w:lang w:val="en-GB"/>
        </w:rPr>
        <w:t>the Approval of “the Action Plan on the Implementation of the National Strategy for the Development of Education in the Republic of Azerbaijan”</w:t>
      </w:r>
      <w:r w:rsidRPr="00143674">
        <w:rPr>
          <w:rFonts w:asciiTheme="minorHAnsi" w:hAnsiTheme="minorHAnsi" w:cs="Lucida Sans Unicode"/>
          <w:color w:val="000000"/>
          <w:sz w:val="28"/>
          <w:szCs w:val="28"/>
          <w:lang w:val="en-GB"/>
        </w:rPr>
        <w:t xml:space="preserve"> </w:t>
      </w:r>
    </w:p>
    <w:p w:rsidR="00F31ED0" w:rsidRPr="00143674" w:rsidRDefault="00F31ED0" w:rsidP="00F31ED0">
      <w:pPr>
        <w:autoSpaceDE w:val="0"/>
        <w:autoSpaceDN w:val="0"/>
        <w:adjustRightInd w:val="0"/>
        <w:spacing w:line="288" w:lineRule="auto"/>
        <w:jc w:val="center"/>
        <w:rPr>
          <w:rFonts w:asciiTheme="minorHAnsi" w:hAnsiTheme="minorHAnsi" w:cs="Lucida Sans Unicode"/>
          <w:color w:val="000000"/>
          <w:sz w:val="28"/>
          <w:szCs w:val="28"/>
          <w:lang w:val="en-GB"/>
        </w:rPr>
      </w:pPr>
    </w:p>
    <w:p w:rsidR="00F31ED0" w:rsidRPr="00143674" w:rsidRDefault="00F31ED0" w:rsidP="00F31ED0">
      <w:pPr>
        <w:autoSpaceDE w:val="0"/>
        <w:autoSpaceDN w:val="0"/>
        <w:adjustRightInd w:val="0"/>
        <w:spacing w:line="288" w:lineRule="auto"/>
        <w:jc w:val="center"/>
        <w:rPr>
          <w:rFonts w:asciiTheme="minorHAnsi" w:hAnsiTheme="minorHAnsi" w:cs="Lucida Sans Unicode"/>
          <w:color w:val="000000"/>
          <w:sz w:val="28"/>
          <w:szCs w:val="28"/>
          <w:lang w:val="en-GB"/>
        </w:rPr>
      </w:pPr>
    </w:p>
    <w:p w:rsidR="00654544" w:rsidRPr="00D02C78" w:rsidRDefault="00654544" w:rsidP="00654544">
      <w:pPr>
        <w:spacing w:line="288" w:lineRule="auto"/>
        <w:rPr>
          <w:rFonts w:asciiTheme="minorHAnsi" w:hAnsiTheme="minorHAnsi" w:cs="Lucida Sans Unicode"/>
          <w:szCs w:val="28"/>
          <w:lang w:val="en-GB"/>
        </w:rPr>
      </w:pPr>
    </w:p>
    <w:p w:rsidR="00F31ED0" w:rsidRPr="00D02C78" w:rsidRDefault="00CD0C77" w:rsidP="00E327E7">
      <w:pPr>
        <w:spacing w:line="288" w:lineRule="auto"/>
        <w:rPr>
          <w:rFonts w:asciiTheme="minorHAnsi" w:hAnsiTheme="minorHAnsi" w:cs="Lucida Sans Unicode"/>
          <w:szCs w:val="28"/>
          <w:lang w:val="en-GB"/>
        </w:rPr>
      </w:pPr>
      <w:r w:rsidRPr="00D02C78">
        <w:rPr>
          <w:rFonts w:asciiTheme="minorHAnsi" w:hAnsiTheme="minorHAnsi" w:cs="Lucida Sans Unicode"/>
          <w:szCs w:val="28"/>
          <w:lang w:val="en-GB"/>
        </w:rPr>
        <w:t>Guided by Paragraph 32, Article 109</w:t>
      </w:r>
      <w:r w:rsidR="00E327E7" w:rsidRPr="00D02C78">
        <w:rPr>
          <w:rFonts w:asciiTheme="minorHAnsi" w:hAnsiTheme="minorHAnsi" w:cs="Lucida Sans Unicode"/>
          <w:szCs w:val="28"/>
          <w:lang w:val="en-GB"/>
        </w:rPr>
        <w:t>,</w:t>
      </w:r>
      <w:r w:rsidRPr="00D02C78">
        <w:rPr>
          <w:rFonts w:asciiTheme="minorHAnsi" w:hAnsiTheme="minorHAnsi" w:cs="Lucida Sans Unicode"/>
          <w:szCs w:val="28"/>
          <w:lang w:val="en-GB"/>
        </w:rPr>
        <w:t xml:space="preserve"> of the Constitution of the Republic of Azerbaijan, in order to ensure the implementation of the Article 2.1 of </w:t>
      </w:r>
      <w:r w:rsidR="00E327E7" w:rsidRPr="00D02C78">
        <w:rPr>
          <w:rFonts w:asciiTheme="minorHAnsi" w:hAnsiTheme="minorHAnsi" w:cs="Lucida Sans Unicode"/>
          <w:szCs w:val="28"/>
          <w:lang w:val="en-GB"/>
        </w:rPr>
        <w:t xml:space="preserve">the Decree No. 13 by </w:t>
      </w:r>
      <w:r w:rsidRPr="00D02C78">
        <w:rPr>
          <w:rFonts w:asciiTheme="minorHAnsi" w:hAnsiTheme="minorHAnsi" w:cs="Lucida Sans Unicode"/>
          <w:szCs w:val="28"/>
          <w:lang w:val="en-GB"/>
        </w:rPr>
        <w:t>the President</w:t>
      </w:r>
      <w:r w:rsidR="00E327E7" w:rsidRPr="00D02C78">
        <w:rPr>
          <w:rFonts w:asciiTheme="minorHAnsi" w:hAnsiTheme="minorHAnsi" w:cs="Lucida Sans Unicode"/>
          <w:szCs w:val="28"/>
          <w:lang w:val="en-GB"/>
        </w:rPr>
        <w:t xml:space="preserve"> of the Republic of Azerbaijan, dated October 24, 2013, “On approval of the </w:t>
      </w:r>
      <w:r w:rsidR="00F31ED0" w:rsidRPr="00D02C78">
        <w:rPr>
          <w:rFonts w:asciiTheme="minorHAnsi" w:hAnsiTheme="minorHAnsi" w:cs="Lucida Sans Unicode"/>
          <w:szCs w:val="28"/>
          <w:lang w:val="en-GB"/>
        </w:rPr>
        <w:t>National Strategy for the Development of Education in the Republic of Azerbaijan</w:t>
      </w:r>
      <w:r w:rsidR="00E327E7" w:rsidRPr="00D02C78">
        <w:rPr>
          <w:rFonts w:asciiTheme="minorHAnsi" w:hAnsiTheme="minorHAnsi" w:cs="Lucida Sans Unicode"/>
          <w:szCs w:val="28"/>
          <w:lang w:val="en-GB"/>
        </w:rPr>
        <w:t>”</w:t>
      </w:r>
      <w:r w:rsidR="00F31ED0" w:rsidRPr="00D02C78">
        <w:rPr>
          <w:rFonts w:asciiTheme="minorHAnsi" w:hAnsiTheme="minorHAnsi" w:cs="Lucida Sans Unicode"/>
          <w:szCs w:val="28"/>
          <w:lang w:val="en-GB"/>
        </w:rPr>
        <w:t xml:space="preserve">, guided by </w:t>
      </w:r>
      <w:r w:rsidR="00F31ED0" w:rsidRPr="00D02C78">
        <w:rPr>
          <w:rFonts w:asciiTheme="minorHAnsi" w:hAnsiTheme="minorHAnsi" w:cs="Lucida Sans Unicode"/>
          <w:b/>
          <w:bCs/>
          <w:szCs w:val="28"/>
          <w:lang w:val="en-GB"/>
        </w:rPr>
        <w:t>I hereby order</w:t>
      </w:r>
      <w:r w:rsidR="00F31ED0" w:rsidRPr="00D02C78">
        <w:rPr>
          <w:rFonts w:asciiTheme="minorHAnsi" w:hAnsiTheme="minorHAnsi" w:cs="Lucida Sans Unicode"/>
          <w:szCs w:val="28"/>
          <w:lang w:val="en-GB"/>
        </w:rPr>
        <w:t>:</w:t>
      </w:r>
    </w:p>
    <w:p w:rsidR="00F31ED0" w:rsidRPr="00D02C78" w:rsidRDefault="00F31ED0" w:rsidP="00E327E7">
      <w:pPr>
        <w:spacing w:line="288" w:lineRule="auto"/>
        <w:rPr>
          <w:rFonts w:asciiTheme="minorHAnsi" w:hAnsiTheme="minorHAnsi" w:cs="Lucida Sans Unicode"/>
          <w:szCs w:val="28"/>
          <w:lang w:val="en-GB"/>
        </w:rPr>
      </w:pPr>
      <w:r w:rsidRPr="00D02C78">
        <w:rPr>
          <w:rFonts w:asciiTheme="minorHAnsi" w:hAnsiTheme="minorHAnsi" w:cs="Lucida Sans Unicode"/>
          <w:szCs w:val="28"/>
          <w:lang w:val="en-GB"/>
        </w:rPr>
        <w:t xml:space="preserve">1. </w:t>
      </w:r>
      <w:r w:rsidR="00E327E7" w:rsidRPr="00D02C78">
        <w:rPr>
          <w:rFonts w:asciiTheme="minorHAnsi" w:hAnsiTheme="minorHAnsi" w:cs="Lucida Sans Unicode"/>
          <w:szCs w:val="28"/>
          <w:lang w:val="en-GB"/>
        </w:rPr>
        <w:t xml:space="preserve">The Action Plan on the Implementation of “The </w:t>
      </w:r>
      <w:r w:rsidRPr="00D02C78">
        <w:rPr>
          <w:rFonts w:asciiTheme="minorHAnsi" w:hAnsiTheme="minorHAnsi" w:cs="Lucida Sans Unicode"/>
          <w:szCs w:val="28"/>
          <w:lang w:val="en-GB"/>
        </w:rPr>
        <w:t>National Strategy for the Development of Education in the Republic of Azerbaijan</w:t>
      </w:r>
      <w:r w:rsidR="00E327E7" w:rsidRPr="00D02C78">
        <w:rPr>
          <w:rFonts w:asciiTheme="minorHAnsi" w:hAnsiTheme="minorHAnsi" w:cs="Lucida Sans Unicode"/>
          <w:szCs w:val="28"/>
          <w:lang w:val="en-GB"/>
        </w:rPr>
        <w:t>”</w:t>
      </w:r>
      <w:r w:rsidRPr="00D02C78">
        <w:rPr>
          <w:rFonts w:asciiTheme="minorHAnsi" w:hAnsiTheme="minorHAnsi" w:cs="Lucida Sans Unicode"/>
          <w:szCs w:val="28"/>
          <w:lang w:val="en-GB"/>
        </w:rPr>
        <w:t xml:space="preserve"> </w:t>
      </w:r>
      <w:r w:rsidR="00E327E7" w:rsidRPr="00D02C78">
        <w:rPr>
          <w:rFonts w:asciiTheme="minorHAnsi" w:hAnsiTheme="minorHAnsi" w:cs="Lucida Sans Unicode"/>
          <w:szCs w:val="28"/>
          <w:lang w:val="en-GB"/>
        </w:rPr>
        <w:t>to</w:t>
      </w:r>
      <w:r w:rsidRPr="00D02C78">
        <w:rPr>
          <w:rFonts w:asciiTheme="minorHAnsi" w:hAnsiTheme="minorHAnsi" w:cs="Lucida Sans Unicode"/>
          <w:szCs w:val="28"/>
          <w:lang w:val="en-GB"/>
        </w:rPr>
        <w:t xml:space="preserve"> be approved (attached).</w:t>
      </w:r>
    </w:p>
    <w:p w:rsidR="00D02C78" w:rsidRPr="00D02C78" w:rsidRDefault="00F31ED0" w:rsidP="00D02C78">
      <w:pPr>
        <w:spacing w:line="288" w:lineRule="auto"/>
        <w:rPr>
          <w:rFonts w:asciiTheme="minorHAnsi" w:hAnsiTheme="minorHAnsi" w:cs="Lucida Sans Unicode"/>
          <w:szCs w:val="28"/>
          <w:lang w:val="en-GB"/>
        </w:rPr>
      </w:pPr>
      <w:r w:rsidRPr="00D02C78">
        <w:rPr>
          <w:rFonts w:asciiTheme="minorHAnsi" w:hAnsiTheme="minorHAnsi" w:cs="Lucida Sans Unicode"/>
          <w:szCs w:val="28"/>
          <w:lang w:val="en-GB"/>
        </w:rPr>
        <w:t xml:space="preserve">2. The Cabinet of Ministers </w:t>
      </w:r>
      <w:r w:rsidR="00E327E7" w:rsidRPr="00D02C78">
        <w:rPr>
          <w:rFonts w:asciiTheme="minorHAnsi" w:hAnsiTheme="minorHAnsi" w:cs="Lucida Sans Unicode"/>
          <w:szCs w:val="28"/>
          <w:lang w:val="en-GB"/>
        </w:rPr>
        <w:t xml:space="preserve">of the Republic of Azerbaijan is </w:t>
      </w:r>
      <w:r w:rsidRPr="00D02C78">
        <w:rPr>
          <w:rFonts w:asciiTheme="minorHAnsi" w:hAnsiTheme="minorHAnsi" w:cs="Lucida Sans Unicode"/>
          <w:szCs w:val="28"/>
          <w:lang w:val="en-GB"/>
        </w:rPr>
        <w:t>to resolve issues arising from this Order.</w:t>
      </w:r>
    </w:p>
    <w:p w:rsidR="00D02C78" w:rsidRPr="00D02C78" w:rsidRDefault="00D02C78" w:rsidP="00D02C78">
      <w:pPr>
        <w:spacing w:line="288" w:lineRule="auto"/>
        <w:jc w:val="center"/>
        <w:rPr>
          <w:rFonts w:asciiTheme="minorHAnsi" w:hAnsiTheme="minorHAnsi" w:cs="Lucida Sans Unicode"/>
          <w:szCs w:val="28"/>
          <w:lang w:val="en-GB"/>
        </w:rPr>
      </w:pPr>
    </w:p>
    <w:p w:rsidR="00D02C78" w:rsidRPr="00D02C78" w:rsidRDefault="00F31ED0" w:rsidP="00D02C78">
      <w:pPr>
        <w:spacing w:line="288" w:lineRule="auto"/>
        <w:jc w:val="center"/>
        <w:rPr>
          <w:rFonts w:asciiTheme="minorHAnsi" w:hAnsiTheme="minorHAnsi" w:cs="Lucida Sans Unicode"/>
          <w:szCs w:val="28"/>
          <w:lang w:val="en-GB"/>
        </w:rPr>
      </w:pPr>
      <w:r w:rsidRPr="00D02C78">
        <w:rPr>
          <w:rFonts w:asciiTheme="minorHAnsi" w:hAnsiTheme="minorHAnsi" w:cs="Lucida Sans Unicode"/>
          <w:szCs w:val="28"/>
          <w:lang w:val="en-GB"/>
        </w:rPr>
        <w:t>Ilham Aliyev</w:t>
      </w:r>
    </w:p>
    <w:p w:rsidR="00654544" w:rsidRPr="00D02C78" w:rsidRDefault="00F31ED0" w:rsidP="00D02C78">
      <w:pPr>
        <w:spacing w:line="288" w:lineRule="auto"/>
        <w:jc w:val="center"/>
        <w:rPr>
          <w:rFonts w:asciiTheme="minorHAnsi" w:hAnsiTheme="minorHAnsi" w:cs="Lucida Sans Unicode"/>
          <w:szCs w:val="28"/>
          <w:lang w:val="en-GB"/>
        </w:rPr>
      </w:pPr>
      <w:r w:rsidRPr="00D02C78">
        <w:rPr>
          <w:rFonts w:asciiTheme="minorHAnsi" w:hAnsiTheme="minorHAnsi" w:cs="Lucida Sans Unicode"/>
          <w:szCs w:val="28"/>
          <w:lang w:val="en-GB"/>
        </w:rPr>
        <w:t>President of the Republic of Azerbaijan</w:t>
      </w:r>
    </w:p>
    <w:p w:rsidR="00F31ED0" w:rsidRPr="00D02C78" w:rsidRDefault="00F31ED0" w:rsidP="00F31ED0">
      <w:pPr>
        <w:spacing w:line="288" w:lineRule="auto"/>
        <w:ind w:left="3528"/>
        <w:rPr>
          <w:rFonts w:asciiTheme="minorHAnsi" w:hAnsiTheme="minorHAnsi" w:cs="Lucida Sans Unicode"/>
          <w:szCs w:val="28"/>
          <w:lang w:val="en-GB"/>
        </w:rPr>
      </w:pPr>
    </w:p>
    <w:p w:rsidR="00F31ED0" w:rsidRPr="00143674" w:rsidRDefault="00F31ED0" w:rsidP="00F31ED0">
      <w:pPr>
        <w:spacing w:line="288" w:lineRule="auto"/>
        <w:ind w:left="3528"/>
        <w:rPr>
          <w:rFonts w:asciiTheme="minorHAnsi" w:hAnsiTheme="minorHAnsi" w:cs="Lucida Sans Unicode"/>
          <w:sz w:val="28"/>
          <w:szCs w:val="28"/>
          <w:lang w:val="en-GB"/>
        </w:rPr>
      </w:pPr>
    </w:p>
    <w:p w:rsidR="00654544" w:rsidRPr="00143674" w:rsidRDefault="00654544" w:rsidP="00654544">
      <w:pPr>
        <w:spacing w:line="288" w:lineRule="auto"/>
        <w:rPr>
          <w:rFonts w:asciiTheme="minorHAnsi" w:hAnsiTheme="minorHAnsi" w:cs="Arial"/>
          <w:color w:val="000080"/>
          <w:sz w:val="20"/>
          <w:lang w:val="en-GB"/>
        </w:rPr>
      </w:pPr>
    </w:p>
    <w:p w:rsidR="00F31ED0" w:rsidRPr="00D02C78" w:rsidRDefault="00F31ED0" w:rsidP="00D02C78">
      <w:pPr>
        <w:tabs>
          <w:tab w:val="left" w:pos="10260"/>
        </w:tabs>
        <w:ind w:left="9000"/>
        <w:jc w:val="right"/>
        <w:rPr>
          <w:rFonts w:asciiTheme="minorHAnsi" w:hAnsiTheme="minorHAnsi" w:cs="Arial"/>
          <w:szCs w:val="28"/>
          <w:lang w:val="en-GB"/>
        </w:rPr>
      </w:pPr>
      <w:r w:rsidRPr="00D02C78">
        <w:rPr>
          <w:rFonts w:asciiTheme="minorHAnsi" w:hAnsiTheme="minorHAnsi" w:cs="Arial"/>
          <w:szCs w:val="28"/>
          <w:lang w:val="en-GB"/>
        </w:rPr>
        <w:t>Baku, 19 January, 2015.</w:t>
      </w:r>
    </w:p>
    <w:p w:rsidR="00F31ED0" w:rsidRPr="00143674" w:rsidRDefault="00F31ED0" w:rsidP="00F31ED0">
      <w:pPr>
        <w:tabs>
          <w:tab w:val="left" w:pos="10260"/>
        </w:tabs>
        <w:ind w:left="9000"/>
        <w:rPr>
          <w:rFonts w:asciiTheme="minorHAnsi" w:hAnsiTheme="minorHAnsi" w:cs="Arial"/>
          <w:sz w:val="28"/>
          <w:szCs w:val="28"/>
          <w:lang w:val="en-GB"/>
        </w:rPr>
      </w:pPr>
    </w:p>
    <w:p w:rsidR="00143674" w:rsidRPr="00143674" w:rsidRDefault="00143674">
      <w:pPr>
        <w:rPr>
          <w:rFonts w:asciiTheme="minorHAnsi" w:hAnsiTheme="minorHAnsi" w:cs="Arial"/>
          <w:sz w:val="28"/>
          <w:szCs w:val="28"/>
          <w:lang w:val="en-GB"/>
        </w:rPr>
      </w:pPr>
      <w:r w:rsidRPr="00143674">
        <w:rPr>
          <w:rFonts w:asciiTheme="minorHAnsi" w:hAnsiTheme="minorHAnsi" w:cs="Arial"/>
          <w:sz w:val="28"/>
          <w:szCs w:val="28"/>
          <w:lang w:val="en-GB"/>
        </w:rPr>
        <w:br w:type="page"/>
      </w:r>
    </w:p>
    <w:p w:rsidR="00F31ED0" w:rsidRPr="00143674" w:rsidRDefault="00F31ED0" w:rsidP="00143674">
      <w:pPr>
        <w:tabs>
          <w:tab w:val="left" w:pos="10260"/>
        </w:tabs>
        <w:ind w:left="9000"/>
        <w:jc w:val="right"/>
        <w:rPr>
          <w:rFonts w:asciiTheme="minorHAnsi" w:hAnsiTheme="minorHAnsi" w:cs="Arial"/>
          <w:sz w:val="22"/>
          <w:szCs w:val="28"/>
          <w:lang w:val="en-GB"/>
        </w:rPr>
      </w:pPr>
      <w:r w:rsidRPr="00143674">
        <w:rPr>
          <w:rFonts w:asciiTheme="minorHAnsi" w:hAnsiTheme="minorHAnsi" w:cs="Arial"/>
          <w:sz w:val="22"/>
          <w:szCs w:val="28"/>
          <w:lang w:val="en-GB"/>
        </w:rPr>
        <w:lastRenderedPageBreak/>
        <w:t>Approved by the Order of the President of the Republic of Azerbaijan, dated 19 January 20</w:t>
      </w:r>
      <w:r w:rsidR="00143674" w:rsidRPr="00143674">
        <w:rPr>
          <w:rFonts w:asciiTheme="minorHAnsi" w:hAnsiTheme="minorHAnsi" w:cs="Arial"/>
          <w:sz w:val="22"/>
          <w:szCs w:val="28"/>
          <w:lang w:val="en-GB"/>
        </w:rPr>
        <w:t>15</w:t>
      </w:r>
    </w:p>
    <w:p w:rsidR="007F4366" w:rsidRPr="00143674" w:rsidRDefault="00F31ED0" w:rsidP="005860F3">
      <w:pPr>
        <w:spacing w:before="240" w:after="240"/>
        <w:rPr>
          <w:rFonts w:asciiTheme="minorHAnsi" w:hAnsiTheme="minorHAnsi" w:cs="Arial"/>
          <w:b/>
          <w:bCs/>
          <w:sz w:val="28"/>
          <w:szCs w:val="28"/>
          <w:lang w:val="en-GB"/>
        </w:rPr>
      </w:pPr>
      <w:r w:rsidRPr="00143674">
        <w:rPr>
          <w:rFonts w:asciiTheme="minorHAnsi" w:hAnsiTheme="minorHAnsi" w:cs="Arial"/>
          <w:b/>
          <w:bCs/>
          <w:sz w:val="28"/>
          <w:szCs w:val="28"/>
          <w:lang w:val="en-GB"/>
        </w:rPr>
        <w:t>Action Plan on the Implementation of the National Strategy for the Development of Education in the Republic of Azerbaijan</w:t>
      </w:r>
    </w:p>
    <w:tbl>
      <w:tblPr>
        <w:tblW w:w="15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373"/>
        <w:gridCol w:w="4858"/>
        <w:gridCol w:w="3423"/>
        <w:gridCol w:w="1831"/>
        <w:gridCol w:w="2147"/>
      </w:tblGrid>
      <w:tr w:rsidR="006D16AD" w:rsidRPr="00143674" w:rsidTr="005860F3">
        <w:trPr>
          <w:cantSplit/>
          <w:trHeight w:val="633"/>
          <w:tblHeader/>
          <w:jc w:val="center"/>
        </w:trPr>
        <w:tc>
          <w:tcPr>
            <w:tcW w:w="15632" w:type="dxa"/>
            <w:gridSpan w:val="5"/>
            <w:shd w:val="clear" w:color="auto" w:fill="FFFFFF"/>
          </w:tcPr>
          <w:p w:rsidR="007F4366" w:rsidRPr="00D02C78" w:rsidRDefault="006D16AD" w:rsidP="00143674">
            <w:pPr>
              <w:spacing w:before="120" w:after="120"/>
              <w:jc w:val="center"/>
              <w:rPr>
                <w:rFonts w:asciiTheme="minorHAnsi" w:eastAsia="Times New Roman" w:hAnsiTheme="minorHAnsi" w:cs="Arial"/>
                <w:b/>
                <w:bCs/>
                <w:sz w:val="28"/>
                <w:lang w:val="en-GB"/>
              </w:rPr>
            </w:pPr>
            <w:r w:rsidRPr="00D02C78">
              <w:rPr>
                <w:rFonts w:asciiTheme="minorHAnsi" w:eastAsia="Times New Roman" w:hAnsiTheme="minorHAnsi" w:cs="Arial"/>
                <w:b/>
                <w:bCs/>
                <w:sz w:val="28"/>
                <w:lang w:val="en-GB"/>
              </w:rPr>
              <w:t xml:space="preserve">1. </w:t>
            </w:r>
            <w:r w:rsidR="002B147E" w:rsidRPr="00D02C78">
              <w:rPr>
                <w:rFonts w:asciiTheme="minorHAnsi" w:eastAsia="Times New Roman" w:hAnsiTheme="minorHAnsi" w:cs="Arial"/>
                <w:b/>
                <w:bCs/>
                <w:sz w:val="28"/>
                <w:lang w:val="en-GB"/>
              </w:rPr>
              <w:t xml:space="preserve">Creating </w:t>
            </w:r>
            <w:r w:rsidR="00E03DE4" w:rsidRPr="00D02C78">
              <w:rPr>
                <w:rFonts w:asciiTheme="minorHAnsi" w:eastAsia="Times New Roman" w:hAnsiTheme="minorHAnsi" w:cs="Arial"/>
                <w:b/>
                <w:bCs/>
                <w:sz w:val="28"/>
                <w:lang w:val="en-GB"/>
              </w:rPr>
              <w:t>content of c</w:t>
            </w:r>
            <w:r w:rsidR="002B147E" w:rsidRPr="00D02C78">
              <w:rPr>
                <w:rFonts w:asciiTheme="minorHAnsi" w:eastAsia="Times New Roman" w:hAnsiTheme="minorHAnsi" w:cs="Arial"/>
                <w:b/>
                <w:bCs/>
                <w:sz w:val="28"/>
                <w:lang w:val="en-GB"/>
              </w:rPr>
              <w:t xml:space="preserve">ompetency-based personality-oriented education </w:t>
            </w:r>
          </w:p>
        </w:tc>
      </w:tr>
      <w:tr w:rsidR="005860F3" w:rsidRPr="00143674" w:rsidTr="005860F3">
        <w:trPr>
          <w:cantSplit/>
          <w:trHeight w:val="283"/>
          <w:tblHeader/>
          <w:jc w:val="center"/>
        </w:trPr>
        <w:tc>
          <w:tcPr>
            <w:tcW w:w="3373" w:type="dxa"/>
            <w:tcBorders>
              <w:bottom w:val="double" w:sz="4" w:space="0" w:color="auto"/>
            </w:tcBorders>
            <w:shd w:val="clear" w:color="auto" w:fill="D9D9D9" w:themeFill="background1" w:themeFillShade="D9"/>
            <w:vAlign w:val="center"/>
          </w:tcPr>
          <w:p w:rsidR="00D02C78" w:rsidRPr="00143674" w:rsidRDefault="00D02C78" w:rsidP="005860F3">
            <w:pPr>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Strategic Targets</w:t>
            </w:r>
          </w:p>
        </w:tc>
        <w:tc>
          <w:tcPr>
            <w:tcW w:w="4858" w:type="dxa"/>
            <w:tcBorders>
              <w:bottom w:val="double" w:sz="4" w:space="0" w:color="auto"/>
            </w:tcBorders>
            <w:shd w:val="clear" w:color="auto" w:fill="D9D9D9" w:themeFill="background1" w:themeFillShade="D9"/>
            <w:vAlign w:val="center"/>
          </w:tcPr>
          <w:p w:rsidR="00D02C78" w:rsidRPr="00143674" w:rsidRDefault="00D02C78" w:rsidP="005860F3">
            <w:pPr>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Measures</w:t>
            </w:r>
          </w:p>
        </w:tc>
        <w:tc>
          <w:tcPr>
            <w:tcW w:w="3423" w:type="dxa"/>
            <w:tcBorders>
              <w:bottom w:val="double" w:sz="4" w:space="0" w:color="auto"/>
            </w:tcBorders>
            <w:shd w:val="clear" w:color="auto" w:fill="D9D9D9" w:themeFill="background1" w:themeFillShade="D9"/>
            <w:vAlign w:val="center"/>
          </w:tcPr>
          <w:p w:rsidR="00D02C78" w:rsidRPr="00143674" w:rsidRDefault="00D02C78" w:rsidP="005860F3">
            <w:pPr>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 xml:space="preserve">Necessary Principles for Implementation of the Measure </w:t>
            </w:r>
          </w:p>
        </w:tc>
        <w:tc>
          <w:tcPr>
            <w:tcW w:w="1831" w:type="dxa"/>
            <w:tcBorders>
              <w:bottom w:val="double" w:sz="4" w:space="0" w:color="auto"/>
            </w:tcBorders>
            <w:shd w:val="clear" w:color="auto" w:fill="D9D9D9" w:themeFill="background1" w:themeFillShade="D9"/>
            <w:vAlign w:val="center"/>
          </w:tcPr>
          <w:p w:rsidR="00D02C78" w:rsidRPr="00143674" w:rsidRDefault="00D02C78" w:rsidP="005860F3">
            <w:pPr>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Implementation Period (years)</w:t>
            </w:r>
          </w:p>
        </w:tc>
        <w:tc>
          <w:tcPr>
            <w:tcW w:w="2147" w:type="dxa"/>
            <w:tcBorders>
              <w:bottom w:val="double" w:sz="4" w:space="0" w:color="auto"/>
            </w:tcBorders>
            <w:shd w:val="clear" w:color="auto" w:fill="D9D9D9" w:themeFill="background1" w:themeFillShade="D9"/>
            <w:vAlign w:val="center"/>
          </w:tcPr>
          <w:p w:rsidR="00D02C78" w:rsidRPr="00143674" w:rsidRDefault="00D02C78" w:rsidP="005860F3">
            <w:pPr>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Implementers</w:t>
            </w:r>
          </w:p>
        </w:tc>
      </w:tr>
      <w:tr w:rsidR="005860F3" w:rsidRPr="00143674" w:rsidTr="005860F3">
        <w:trPr>
          <w:cantSplit/>
          <w:trHeight w:val="283"/>
          <w:jc w:val="center"/>
        </w:trPr>
        <w:tc>
          <w:tcPr>
            <w:tcW w:w="3373" w:type="dxa"/>
            <w:vMerge w:val="restart"/>
            <w:tcBorders>
              <w:top w:val="double" w:sz="4" w:space="0" w:color="auto"/>
            </w:tcBorders>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xml:space="preserve">1.1. Develop  standards and curriculum based on efficient educational model of development of children in early years </w:t>
            </w:r>
          </w:p>
        </w:tc>
        <w:tc>
          <w:tcPr>
            <w:tcW w:w="4858" w:type="dxa"/>
            <w:tcBorders>
              <w:top w:val="double" w:sz="4" w:space="0" w:color="auto"/>
            </w:tcBorders>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1.1.1. Preparing and reviewing the national content standards on preschool education</w:t>
            </w:r>
          </w:p>
        </w:tc>
        <w:tc>
          <w:tcPr>
            <w:tcW w:w="3423" w:type="dxa"/>
            <w:tcBorders>
              <w:top w:val="double" w:sz="4" w:space="0" w:color="auto"/>
            </w:tcBorders>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w:t>
            </w:r>
          </w:p>
        </w:tc>
        <w:tc>
          <w:tcPr>
            <w:tcW w:w="1831" w:type="dxa"/>
            <w:tcBorders>
              <w:top w:val="double" w:sz="4" w:space="0" w:color="auto"/>
            </w:tcBorders>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2015</w:t>
            </w:r>
          </w:p>
        </w:tc>
        <w:tc>
          <w:tcPr>
            <w:tcW w:w="2147" w:type="dxa"/>
            <w:tcBorders>
              <w:top w:val="double" w:sz="4" w:space="0" w:color="auto"/>
            </w:tcBorders>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Ministry of Education</w:t>
            </w:r>
          </w:p>
        </w:tc>
      </w:tr>
      <w:tr w:rsidR="005860F3" w:rsidRPr="00143674" w:rsidTr="005860F3">
        <w:trPr>
          <w:cantSplit/>
          <w:trHeight w:val="283"/>
          <w:jc w:val="center"/>
        </w:trPr>
        <w:tc>
          <w:tcPr>
            <w:tcW w:w="3373" w:type="dxa"/>
            <w:vMerge/>
            <w:shd w:val="clear" w:color="auto" w:fill="FFFFFF"/>
          </w:tcPr>
          <w:p w:rsidR="00D02C78" w:rsidRPr="00591FE2" w:rsidRDefault="00D02C78" w:rsidP="00591FE2">
            <w:pPr>
              <w:rPr>
                <w:rFonts w:asciiTheme="minorHAnsi" w:eastAsia="Times New Roman" w:hAnsiTheme="minorHAnsi" w:cs="Arial"/>
                <w:szCs w:val="22"/>
                <w:lang w:val="en-GB"/>
              </w:rPr>
            </w:pP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1.1.2. Approving national content standards on preschool education</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2015</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Cabinet of Ministers</w:t>
            </w:r>
          </w:p>
        </w:tc>
      </w:tr>
      <w:tr w:rsidR="005860F3" w:rsidRPr="00143674" w:rsidTr="005860F3">
        <w:trPr>
          <w:cantSplit/>
          <w:trHeight w:val="283"/>
          <w:jc w:val="center"/>
        </w:trPr>
        <w:tc>
          <w:tcPr>
            <w:tcW w:w="3373" w:type="dxa"/>
            <w:vMerge/>
            <w:shd w:val="clear" w:color="auto" w:fill="FFFFFF"/>
          </w:tcPr>
          <w:p w:rsidR="00D02C78" w:rsidRPr="00591FE2" w:rsidRDefault="00D02C78" w:rsidP="00591FE2">
            <w:pPr>
              <w:rPr>
                <w:rFonts w:asciiTheme="minorHAnsi" w:eastAsia="Times New Roman" w:hAnsiTheme="minorHAnsi" w:cs="Arial"/>
                <w:szCs w:val="22"/>
                <w:lang w:val="en-GB"/>
              </w:rPr>
            </w:pP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xml:space="preserve">1.1.3. Developing model curricula for pre-school education (including school preparation curriculum) </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2015</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Ministry of Education</w:t>
            </w:r>
          </w:p>
        </w:tc>
      </w:tr>
      <w:tr w:rsidR="005860F3" w:rsidRPr="00143674" w:rsidTr="005860F3">
        <w:trPr>
          <w:cantSplit/>
          <w:trHeight w:val="283"/>
          <w:jc w:val="center"/>
        </w:trPr>
        <w:tc>
          <w:tcPr>
            <w:tcW w:w="3373" w:type="dxa"/>
            <w:vMerge/>
            <w:shd w:val="clear" w:color="auto" w:fill="FFFFFF"/>
          </w:tcPr>
          <w:p w:rsidR="00D02C78" w:rsidRPr="00591FE2" w:rsidRDefault="00D02C78" w:rsidP="00591FE2">
            <w:pPr>
              <w:rPr>
                <w:rFonts w:asciiTheme="minorHAnsi" w:eastAsia="Times New Roman" w:hAnsiTheme="minorHAnsi" w:cs="Arial"/>
                <w:szCs w:val="22"/>
                <w:lang w:val="en-GB"/>
              </w:rPr>
            </w:pP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1.1.4. Organizing trainings on pre-school model curricula, curricula implementation</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xml:space="preserve">Approval of national content standards by the Cabinet of Ministers, allocation of funds for curricula implementation  </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2016</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Ministry of Education, local executive power authorities</w:t>
            </w:r>
          </w:p>
        </w:tc>
      </w:tr>
      <w:tr w:rsidR="005860F3" w:rsidRPr="00143674" w:rsidTr="005860F3">
        <w:trPr>
          <w:cantSplit/>
          <w:trHeight w:val="283"/>
          <w:jc w:val="center"/>
        </w:trPr>
        <w:tc>
          <w:tcPr>
            <w:tcW w:w="3373" w:type="dxa"/>
            <w:vMerge/>
            <w:shd w:val="clear" w:color="auto" w:fill="FFFFFF"/>
          </w:tcPr>
          <w:p w:rsidR="00D02C78" w:rsidRPr="00591FE2" w:rsidRDefault="00D02C78" w:rsidP="00591FE2">
            <w:pPr>
              <w:rPr>
                <w:rFonts w:asciiTheme="minorHAnsi" w:eastAsia="Times New Roman" w:hAnsiTheme="minorHAnsi" w:cs="Arial"/>
                <w:szCs w:val="22"/>
                <w:lang w:val="en-GB"/>
              </w:rPr>
            </w:pP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xml:space="preserve">1.1.5. Preparing and implementing “Competent parents” television program </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allocation of funds</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as of 2015</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Ministry of Education</w:t>
            </w:r>
          </w:p>
        </w:tc>
      </w:tr>
      <w:tr w:rsidR="005860F3" w:rsidRPr="00143674" w:rsidTr="005860F3">
        <w:trPr>
          <w:cantSplit/>
          <w:trHeight w:val="283"/>
          <w:jc w:val="center"/>
        </w:trPr>
        <w:tc>
          <w:tcPr>
            <w:tcW w:w="3373" w:type="dxa"/>
            <w:vMerge w:val="restart"/>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xml:space="preserve">1.2. Develop competency-based education standards and curricula </w:t>
            </w: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xml:space="preserve">1.2.1. Developing and expertise of national content and assessment standards for 12-year general education </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2015–2016</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Ministry of Education</w:t>
            </w:r>
          </w:p>
        </w:tc>
      </w:tr>
      <w:tr w:rsidR="005860F3" w:rsidRPr="00143674" w:rsidTr="005860F3">
        <w:trPr>
          <w:cantSplit/>
          <w:trHeight w:val="283"/>
          <w:jc w:val="center"/>
        </w:trPr>
        <w:tc>
          <w:tcPr>
            <w:tcW w:w="3373" w:type="dxa"/>
            <w:vMerge/>
            <w:shd w:val="clear" w:color="auto" w:fill="FFFFFF"/>
          </w:tcPr>
          <w:p w:rsidR="00D02C78" w:rsidRPr="00591FE2" w:rsidRDefault="00D02C78" w:rsidP="00591FE2">
            <w:pPr>
              <w:rPr>
                <w:rFonts w:asciiTheme="minorHAnsi" w:eastAsia="Times New Roman" w:hAnsiTheme="minorHAnsi" w:cs="Arial"/>
                <w:szCs w:val="22"/>
                <w:lang w:val="en-GB"/>
              </w:rPr>
            </w:pP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1.2.2. Approving national content and assessment standards for 12-year general education</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xml:space="preserve">Making amendments to the relevant laws to ensure the transformation to 12-year general education </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2016</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Cabinet of Ministers</w:t>
            </w:r>
          </w:p>
        </w:tc>
      </w:tr>
      <w:tr w:rsidR="005860F3" w:rsidRPr="00143674" w:rsidTr="005860F3">
        <w:trPr>
          <w:cantSplit/>
          <w:trHeight w:val="283"/>
          <w:jc w:val="center"/>
        </w:trPr>
        <w:tc>
          <w:tcPr>
            <w:tcW w:w="3373" w:type="dxa"/>
            <w:vMerge/>
            <w:shd w:val="clear" w:color="auto" w:fill="FFFFFF"/>
          </w:tcPr>
          <w:p w:rsidR="00D02C78" w:rsidRPr="00591FE2" w:rsidRDefault="00D02C78" w:rsidP="00591FE2">
            <w:pPr>
              <w:rPr>
                <w:rFonts w:asciiTheme="minorHAnsi" w:eastAsia="Times New Roman" w:hAnsiTheme="minorHAnsi" w:cs="Arial"/>
                <w:szCs w:val="22"/>
                <w:lang w:val="en-GB"/>
              </w:rPr>
            </w:pP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xml:space="preserve">1.2.3. Developing model curriculum for 12-year general education levels </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2016-2017</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Ministry of Education</w:t>
            </w:r>
          </w:p>
        </w:tc>
      </w:tr>
      <w:tr w:rsidR="005860F3" w:rsidRPr="00143674" w:rsidTr="005860F3">
        <w:trPr>
          <w:cantSplit/>
          <w:trHeight w:val="283"/>
          <w:jc w:val="center"/>
        </w:trPr>
        <w:tc>
          <w:tcPr>
            <w:tcW w:w="3373" w:type="dxa"/>
            <w:vMerge/>
            <w:shd w:val="clear" w:color="auto" w:fill="FFFFFF"/>
          </w:tcPr>
          <w:p w:rsidR="00D02C78" w:rsidRPr="00591FE2" w:rsidRDefault="00D02C78" w:rsidP="00591FE2">
            <w:pPr>
              <w:rPr>
                <w:rFonts w:asciiTheme="minorHAnsi" w:eastAsia="Times New Roman" w:hAnsiTheme="minorHAnsi" w:cs="Arial"/>
                <w:szCs w:val="22"/>
                <w:lang w:val="en-GB"/>
              </w:rPr>
            </w:pP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1.2.4. Organizing trainings on model curricula  for 12-year general education, curricula implementation</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xml:space="preserve">Approval  of national content standards by the Cabinet of Ministers, allocation of funds for the curricula implementation </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2017-2021</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Ministry of Education</w:t>
            </w:r>
          </w:p>
        </w:tc>
      </w:tr>
      <w:tr w:rsidR="005860F3" w:rsidRPr="00143674" w:rsidTr="005860F3">
        <w:trPr>
          <w:cantSplit/>
          <w:trHeight w:val="283"/>
          <w:jc w:val="center"/>
        </w:trPr>
        <w:tc>
          <w:tcPr>
            <w:tcW w:w="3373" w:type="dxa"/>
            <w:vMerge/>
            <w:shd w:val="clear" w:color="auto" w:fill="FFFFFF"/>
          </w:tcPr>
          <w:p w:rsidR="00D02C78" w:rsidRPr="00591FE2" w:rsidRDefault="00D02C78" w:rsidP="00591FE2">
            <w:pPr>
              <w:rPr>
                <w:rFonts w:asciiTheme="minorHAnsi" w:eastAsia="Times New Roman" w:hAnsiTheme="minorHAnsi" w:cs="Arial"/>
                <w:szCs w:val="22"/>
                <w:lang w:val="en-GB"/>
              </w:rPr>
            </w:pP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1.2.5. Developing new regulations in the field of textbooks preparation</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2016-2017</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Ministry of Education,</w:t>
            </w:r>
            <w:r w:rsidR="00591FE2" w:rsidRPr="00591FE2">
              <w:rPr>
                <w:rFonts w:asciiTheme="minorHAnsi" w:eastAsia="Times New Roman" w:hAnsiTheme="minorHAnsi" w:cs="Arial"/>
                <w:szCs w:val="22"/>
                <w:lang w:val="en-GB"/>
              </w:rPr>
              <w:t xml:space="preserve"> </w:t>
            </w:r>
            <w:r w:rsidRPr="00591FE2">
              <w:rPr>
                <w:rFonts w:asciiTheme="minorHAnsi" w:eastAsia="Times New Roman" w:hAnsiTheme="minorHAnsi" w:cs="Arial"/>
                <w:szCs w:val="22"/>
                <w:lang w:val="en-GB"/>
              </w:rPr>
              <w:t>State Student Admission Commission</w:t>
            </w:r>
          </w:p>
        </w:tc>
      </w:tr>
      <w:tr w:rsidR="005860F3" w:rsidRPr="00143674" w:rsidTr="005860F3">
        <w:trPr>
          <w:cantSplit/>
          <w:trHeight w:val="283"/>
          <w:jc w:val="center"/>
        </w:trPr>
        <w:tc>
          <w:tcPr>
            <w:tcW w:w="3373" w:type="dxa"/>
            <w:vMerge/>
            <w:shd w:val="clear" w:color="auto" w:fill="FFFFFF"/>
          </w:tcPr>
          <w:p w:rsidR="00D02C78" w:rsidRPr="00591FE2" w:rsidRDefault="00D02C78" w:rsidP="00591FE2">
            <w:pPr>
              <w:rPr>
                <w:rFonts w:asciiTheme="minorHAnsi" w:eastAsia="Times New Roman" w:hAnsiTheme="minorHAnsi" w:cs="Arial"/>
                <w:szCs w:val="22"/>
                <w:lang w:val="en-GB"/>
              </w:rPr>
            </w:pP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1.2.6. Approving new regulations in the field of textbooks preparation</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2017</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Cabinet of Ministers</w:t>
            </w:r>
          </w:p>
        </w:tc>
      </w:tr>
      <w:tr w:rsidR="005860F3" w:rsidRPr="00143674" w:rsidTr="005860F3">
        <w:trPr>
          <w:cantSplit/>
          <w:trHeight w:val="283"/>
          <w:jc w:val="center"/>
        </w:trPr>
        <w:tc>
          <w:tcPr>
            <w:tcW w:w="3373" w:type="dxa"/>
            <w:vMerge/>
            <w:tcBorders>
              <w:bottom w:val="single" w:sz="4" w:space="0" w:color="auto"/>
            </w:tcBorders>
            <w:shd w:val="clear" w:color="auto" w:fill="FFFFFF"/>
          </w:tcPr>
          <w:p w:rsidR="00D02C78" w:rsidRPr="00591FE2" w:rsidRDefault="00D02C78" w:rsidP="00591FE2">
            <w:pPr>
              <w:rPr>
                <w:rFonts w:asciiTheme="minorHAnsi" w:eastAsia="Times New Roman" w:hAnsiTheme="minorHAnsi" w:cs="Arial"/>
                <w:szCs w:val="22"/>
                <w:lang w:val="en-GB"/>
              </w:rPr>
            </w:pP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1.2.7. Applying new regulations in the field of textbooks preparation</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approval of new regulations in the field of textbooks preparation, allocation of funds</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2017</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Ministry of Education</w:t>
            </w:r>
          </w:p>
        </w:tc>
      </w:tr>
      <w:tr w:rsidR="005860F3" w:rsidRPr="00143674" w:rsidTr="005860F3">
        <w:trPr>
          <w:cantSplit/>
          <w:trHeight w:val="283"/>
          <w:jc w:val="center"/>
        </w:trPr>
        <w:tc>
          <w:tcPr>
            <w:tcW w:w="337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lastRenderedPageBreak/>
              <w:t>1.3. Develop a system to identify, develop and support talents at an early age in the interests of personality, society and the State</w:t>
            </w:r>
          </w:p>
        </w:tc>
        <w:tc>
          <w:tcPr>
            <w:tcW w:w="4858" w:type="dxa"/>
            <w:tcBorders>
              <w:bottom w:val="single" w:sz="4" w:space="0" w:color="auto"/>
            </w:tcBorders>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xml:space="preserve">1.3.1. Develop, approve and implement the state program for development of talented children and youth </w:t>
            </w:r>
          </w:p>
        </w:tc>
        <w:tc>
          <w:tcPr>
            <w:tcW w:w="3423" w:type="dxa"/>
            <w:tcBorders>
              <w:bottom w:val="single" w:sz="4" w:space="0" w:color="auto"/>
            </w:tcBorders>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approval of the state program for development of talented children and youth, allocation of funds</w:t>
            </w:r>
          </w:p>
        </w:tc>
        <w:tc>
          <w:tcPr>
            <w:tcW w:w="1831" w:type="dxa"/>
            <w:tcBorders>
              <w:bottom w:val="single" w:sz="4" w:space="0" w:color="auto"/>
            </w:tcBorders>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2016–2024</w:t>
            </w:r>
          </w:p>
        </w:tc>
        <w:tc>
          <w:tcPr>
            <w:tcW w:w="2147" w:type="dxa"/>
            <w:tcBorders>
              <w:bottom w:val="single" w:sz="4" w:space="0" w:color="auto"/>
            </w:tcBorders>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Cabinet of Ministers, Ministry of Education, Ministry of Economy and Industry, Ministry of Youth and Sports, Ministry of Justice, Ministry of Culture and Tourism</w:t>
            </w:r>
          </w:p>
        </w:tc>
      </w:tr>
      <w:tr w:rsidR="005860F3" w:rsidRPr="00143674" w:rsidTr="005860F3">
        <w:trPr>
          <w:cantSplit/>
          <w:trHeight w:val="283"/>
          <w:jc w:val="center"/>
        </w:trPr>
        <w:tc>
          <w:tcPr>
            <w:tcW w:w="337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xml:space="preserve">1.4. The Develop inclusive learning methodology to provide integration of persons with disabilities into the life and learning environment </w:t>
            </w: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xml:space="preserve">1.4.1. Developing, approving and implementing the State Programme on Development and Inclusive Education of Persons with Disabilities </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Approval of the State Programme on Development and Inclusive Education of Persons with Disabilities, allocation of funds</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2015–2023 </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xml:space="preserve">Cabinet of Ministers, Ministry of Education, Ministry of Labour and Social Protection of Population, Ministry of Health, Ministry of Justice </w:t>
            </w:r>
          </w:p>
        </w:tc>
      </w:tr>
      <w:tr w:rsidR="005860F3" w:rsidRPr="00143674" w:rsidTr="005860F3">
        <w:trPr>
          <w:cantSplit/>
          <w:trHeight w:val="283"/>
          <w:jc w:val="center"/>
        </w:trPr>
        <w:tc>
          <w:tcPr>
            <w:tcW w:w="3373" w:type="dxa"/>
            <w:vMerge w:val="restart"/>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xml:space="preserve">1.5. Develop competency-based vocational and professional education standards and curricula in accordance with the </w:t>
            </w:r>
            <w:r w:rsidR="00591FE2" w:rsidRPr="00591FE2">
              <w:rPr>
                <w:rFonts w:asciiTheme="minorHAnsi" w:eastAsia="Times New Roman" w:hAnsiTheme="minorHAnsi" w:cs="Arial"/>
                <w:szCs w:val="22"/>
                <w:lang w:val="en-GB"/>
              </w:rPr>
              <w:lastRenderedPageBreak/>
              <w:t>r</w:t>
            </w:r>
            <w:r w:rsidRPr="00591FE2">
              <w:rPr>
                <w:rFonts w:asciiTheme="minorHAnsi" w:eastAsia="Times New Roman" w:hAnsiTheme="minorHAnsi" w:cs="Arial"/>
                <w:szCs w:val="22"/>
                <w:lang w:val="en-GB"/>
              </w:rPr>
              <w:t>equirements of society</w:t>
            </w: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lastRenderedPageBreak/>
              <w:t>1.5.1. Developing and expertise of vocational and professional education standards</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2015–2016</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Ministry of Education</w:t>
            </w:r>
          </w:p>
        </w:tc>
      </w:tr>
      <w:tr w:rsidR="005860F3" w:rsidRPr="00143674" w:rsidTr="005860F3">
        <w:trPr>
          <w:cantSplit/>
          <w:trHeight w:val="283"/>
          <w:jc w:val="center"/>
        </w:trPr>
        <w:tc>
          <w:tcPr>
            <w:tcW w:w="3373" w:type="dxa"/>
            <w:vMerge/>
            <w:shd w:val="clear" w:color="auto" w:fill="FFFFFF"/>
          </w:tcPr>
          <w:p w:rsidR="00D02C78" w:rsidRPr="00591FE2" w:rsidRDefault="00D02C78" w:rsidP="00591FE2">
            <w:pPr>
              <w:rPr>
                <w:rFonts w:asciiTheme="minorHAnsi" w:eastAsia="Times New Roman" w:hAnsiTheme="minorHAnsi" w:cs="Arial"/>
                <w:szCs w:val="22"/>
                <w:lang w:val="en-GB"/>
              </w:rPr>
            </w:pP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1.5.2. Approval of vocational and professional education standards</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 2017</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Cabinet of Ministers</w:t>
            </w:r>
          </w:p>
        </w:tc>
      </w:tr>
      <w:tr w:rsidR="005860F3" w:rsidRPr="00143674" w:rsidTr="005860F3">
        <w:trPr>
          <w:cantSplit/>
          <w:trHeight w:val="283"/>
          <w:jc w:val="center"/>
        </w:trPr>
        <w:tc>
          <w:tcPr>
            <w:tcW w:w="3373" w:type="dxa"/>
            <w:vMerge/>
            <w:shd w:val="clear" w:color="auto" w:fill="FFFFFF"/>
          </w:tcPr>
          <w:p w:rsidR="00D02C78" w:rsidRPr="00591FE2" w:rsidRDefault="00D02C78" w:rsidP="00591FE2">
            <w:pPr>
              <w:rPr>
                <w:rFonts w:asciiTheme="minorHAnsi" w:eastAsia="Times New Roman" w:hAnsiTheme="minorHAnsi" w:cs="Arial"/>
                <w:szCs w:val="22"/>
                <w:lang w:val="en-GB"/>
              </w:rPr>
            </w:pP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1.5.3. Developing model curricula for vocational and professional education</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2017–2018</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Ministry of Education</w:t>
            </w:r>
          </w:p>
        </w:tc>
      </w:tr>
      <w:tr w:rsidR="005860F3" w:rsidRPr="00143674" w:rsidTr="005860F3">
        <w:trPr>
          <w:cantSplit/>
          <w:trHeight w:val="283"/>
          <w:jc w:val="center"/>
        </w:trPr>
        <w:tc>
          <w:tcPr>
            <w:tcW w:w="3373" w:type="dxa"/>
            <w:vMerge/>
            <w:shd w:val="clear" w:color="auto" w:fill="FFFFFF"/>
          </w:tcPr>
          <w:p w:rsidR="00D02C78" w:rsidRPr="00591FE2" w:rsidRDefault="00D02C78" w:rsidP="00591FE2">
            <w:pPr>
              <w:rPr>
                <w:rFonts w:asciiTheme="minorHAnsi" w:eastAsia="Times New Roman" w:hAnsiTheme="minorHAnsi" w:cs="Arial"/>
                <w:szCs w:val="22"/>
                <w:lang w:val="en-GB"/>
              </w:rPr>
            </w:pP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1.5.4. Organizing trainings on model curricula for vocational and professional education, curricula implementation</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xml:space="preserve">Approval of national content standards by the Cabinet of Ministers, allocation of funds for the curricula implementation </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2017–2019</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Ministry of Education</w:t>
            </w:r>
          </w:p>
        </w:tc>
      </w:tr>
      <w:tr w:rsidR="005860F3" w:rsidRPr="00143674" w:rsidTr="005860F3">
        <w:trPr>
          <w:cantSplit/>
          <w:trHeight w:val="283"/>
          <w:jc w:val="center"/>
        </w:trPr>
        <w:tc>
          <w:tcPr>
            <w:tcW w:w="3373" w:type="dxa"/>
            <w:vMerge w:val="restart"/>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xml:space="preserve">1.6. Apply higher education standards to support the transformation of higher education institutions to research and innovation centres and to ensure competition-based specialist preparation </w:t>
            </w:r>
          </w:p>
          <w:p w:rsidR="00D02C78" w:rsidRPr="00591FE2" w:rsidRDefault="00D02C78" w:rsidP="00591FE2">
            <w:pPr>
              <w:rPr>
                <w:rFonts w:asciiTheme="minorHAnsi" w:eastAsia="Times New Roman" w:hAnsiTheme="minorHAnsi" w:cs="Arial"/>
                <w:szCs w:val="22"/>
                <w:lang w:val="en-GB"/>
              </w:rPr>
            </w:pP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xml:space="preserve">1.6.1. Developing and expertise of standards as per the qualifications for each level of higher education </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2015–2017</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Ministry of Education</w:t>
            </w:r>
          </w:p>
        </w:tc>
      </w:tr>
      <w:tr w:rsidR="005860F3" w:rsidRPr="00143674" w:rsidTr="005860F3">
        <w:trPr>
          <w:cantSplit/>
          <w:trHeight w:val="283"/>
          <w:jc w:val="center"/>
        </w:trPr>
        <w:tc>
          <w:tcPr>
            <w:tcW w:w="3373" w:type="dxa"/>
            <w:vMerge/>
            <w:shd w:val="clear" w:color="auto" w:fill="FFFFFF"/>
          </w:tcPr>
          <w:p w:rsidR="00D02C78" w:rsidRPr="00591FE2" w:rsidRDefault="00D02C78" w:rsidP="00591FE2">
            <w:pPr>
              <w:rPr>
                <w:rFonts w:asciiTheme="minorHAnsi" w:eastAsia="Times New Roman" w:hAnsiTheme="minorHAnsi" w:cs="Arial"/>
                <w:szCs w:val="22"/>
                <w:lang w:val="en-GB"/>
              </w:rPr>
            </w:pP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1.6.2. Approving standards as per the qualifications for each level of higher education</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2017</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Cabinet of Ministers</w:t>
            </w:r>
          </w:p>
        </w:tc>
      </w:tr>
      <w:tr w:rsidR="005860F3" w:rsidRPr="00143674" w:rsidTr="005860F3">
        <w:trPr>
          <w:cantSplit/>
          <w:trHeight w:val="283"/>
          <w:jc w:val="center"/>
        </w:trPr>
        <w:tc>
          <w:tcPr>
            <w:tcW w:w="3373" w:type="dxa"/>
            <w:vMerge/>
            <w:shd w:val="clear" w:color="auto" w:fill="FFFFFF"/>
          </w:tcPr>
          <w:p w:rsidR="00D02C78" w:rsidRPr="00591FE2" w:rsidRDefault="00D02C78" w:rsidP="00591FE2">
            <w:pPr>
              <w:rPr>
                <w:rFonts w:asciiTheme="minorHAnsi" w:eastAsia="Times New Roman" w:hAnsiTheme="minorHAnsi" w:cs="Arial"/>
                <w:szCs w:val="22"/>
                <w:lang w:val="en-GB"/>
              </w:rPr>
            </w:pP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1.6.3. Development, expertise and implementation of curricula for staff training</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Approval of the standards by the Cabinet of Ministers</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2017–2019</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Ministry of Education</w:t>
            </w:r>
          </w:p>
        </w:tc>
      </w:tr>
      <w:tr w:rsidR="005860F3" w:rsidRPr="00143674" w:rsidTr="005860F3">
        <w:trPr>
          <w:cantSplit/>
          <w:trHeight w:val="283"/>
          <w:jc w:val="center"/>
        </w:trPr>
        <w:tc>
          <w:tcPr>
            <w:tcW w:w="3373" w:type="dxa"/>
            <w:vMerge/>
            <w:shd w:val="clear" w:color="auto" w:fill="FFFFFF"/>
          </w:tcPr>
          <w:p w:rsidR="00D02C78" w:rsidRPr="00591FE2" w:rsidRDefault="00D02C78" w:rsidP="00591FE2">
            <w:pPr>
              <w:rPr>
                <w:rFonts w:asciiTheme="minorHAnsi" w:eastAsia="Times New Roman" w:hAnsiTheme="minorHAnsi" w:cs="Arial"/>
                <w:szCs w:val="22"/>
                <w:lang w:val="en-GB"/>
              </w:rPr>
            </w:pP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xml:space="preserve">1.6.4. Improving the regulatory framework in order to give independence to  higher education institutions in the application of the educational content </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2018-2019</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Cabinet of Ministers, Ministry of Education</w:t>
            </w:r>
          </w:p>
        </w:tc>
      </w:tr>
      <w:tr w:rsidR="005860F3" w:rsidRPr="00143674" w:rsidTr="005860F3">
        <w:trPr>
          <w:cantSplit/>
          <w:trHeight w:val="283"/>
          <w:jc w:val="center"/>
        </w:trPr>
        <w:tc>
          <w:tcPr>
            <w:tcW w:w="3373" w:type="dxa"/>
            <w:vMerge/>
            <w:shd w:val="clear" w:color="auto" w:fill="FFFFFF"/>
          </w:tcPr>
          <w:p w:rsidR="00D02C78" w:rsidRPr="00591FE2" w:rsidRDefault="00D02C78" w:rsidP="00591FE2">
            <w:pPr>
              <w:rPr>
                <w:rFonts w:asciiTheme="minorHAnsi" w:eastAsia="Times New Roman" w:hAnsiTheme="minorHAnsi" w:cs="Arial"/>
                <w:szCs w:val="22"/>
                <w:lang w:val="en-GB"/>
              </w:rPr>
            </w:pP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xml:space="preserve">1.6.5. Strengthening links and continuity among the higher education levels, developing and expertise of the state of the art standards to provide high level preparation in scientific research and perfect skill acquisition in the academic activities for the PhD level </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2016–2017</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Ministry of Education</w:t>
            </w:r>
          </w:p>
        </w:tc>
      </w:tr>
      <w:tr w:rsidR="005860F3" w:rsidRPr="00143674" w:rsidTr="005860F3">
        <w:trPr>
          <w:cantSplit/>
          <w:trHeight w:val="283"/>
          <w:jc w:val="center"/>
        </w:trPr>
        <w:tc>
          <w:tcPr>
            <w:tcW w:w="3373" w:type="dxa"/>
            <w:vMerge/>
            <w:shd w:val="clear" w:color="auto" w:fill="FFFFFF"/>
          </w:tcPr>
          <w:p w:rsidR="00D02C78" w:rsidRPr="00591FE2" w:rsidRDefault="00D02C78" w:rsidP="00591FE2">
            <w:pPr>
              <w:rPr>
                <w:rFonts w:asciiTheme="minorHAnsi" w:eastAsia="Times New Roman" w:hAnsiTheme="minorHAnsi" w:cs="Arial"/>
                <w:szCs w:val="22"/>
                <w:lang w:val="en-GB"/>
              </w:rPr>
            </w:pPr>
          </w:p>
        </w:tc>
        <w:tc>
          <w:tcPr>
            <w:tcW w:w="4858"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1.6.6. Approval of standards for the PhD level</w:t>
            </w:r>
          </w:p>
        </w:tc>
        <w:tc>
          <w:tcPr>
            <w:tcW w:w="3423"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 </w:t>
            </w:r>
          </w:p>
        </w:tc>
        <w:tc>
          <w:tcPr>
            <w:tcW w:w="1831" w:type="dxa"/>
            <w:shd w:val="clear" w:color="auto" w:fill="FFFFFF"/>
          </w:tcPr>
          <w:p w:rsidR="00D02C78" w:rsidRPr="00591FE2" w:rsidRDefault="00D02C78" w:rsidP="00591FE2">
            <w:pPr>
              <w:jc w:val="right"/>
              <w:rPr>
                <w:rFonts w:asciiTheme="minorHAnsi" w:eastAsia="Times New Roman" w:hAnsiTheme="minorHAnsi" w:cs="Arial"/>
                <w:szCs w:val="22"/>
                <w:lang w:val="en-GB"/>
              </w:rPr>
            </w:pPr>
            <w:r w:rsidRPr="00591FE2">
              <w:rPr>
                <w:rFonts w:asciiTheme="minorHAnsi" w:eastAsia="Times New Roman" w:hAnsiTheme="minorHAnsi" w:cs="Arial"/>
                <w:szCs w:val="22"/>
                <w:lang w:val="en-GB"/>
              </w:rPr>
              <w:t>2017</w:t>
            </w:r>
          </w:p>
        </w:tc>
        <w:tc>
          <w:tcPr>
            <w:tcW w:w="2147" w:type="dxa"/>
            <w:shd w:val="clear" w:color="auto" w:fill="FFFFFF"/>
          </w:tcPr>
          <w:p w:rsidR="00D02C78" w:rsidRPr="00591FE2" w:rsidRDefault="00D02C78" w:rsidP="00591FE2">
            <w:pPr>
              <w:rPr>
                <w:rFonts w:asciiTheme="minorHAnsi" w:eastAsia="Times New Roman" w:hAnsiTheme="minorHAnsi" w:cs="Arial"/>
                <w:szCs w:val="22"/>
                <w:lang w:val="en-GB"/>
              </w:rPr>
            </w:pPr>
            <w:r w:rsidRPr="00591FE2">
              <w:rPr>
                <w:rFonts w:asciiTheme="minorHAnsi" w:eastAsia="Times New Roman" w:hAnsiTheme="minorHAnsi" w:cs="Arial"/>
                <w:szCs w:val="22"/>
                <w:lang w:val="en-GB"/>
              </w:rPr>
              <w:t>Cabinet of Ministers</w:t>
            </w:r>
          </w:p>
        </w:tc>
      </w:tr>
    </w:tbl>
    <w:p w:rsidR="00591FE2" w:rsidRDefault="00591FE2"/>
    <w:tbl>
      <w:tblPr>
        <w:tblW w:w="15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397"/>
        <w:gridCol w:w="4820"/>
        <w:gridCol w:w="3544"/>
        <w:gridCol w:w="1842"/>
        <w:gridCol w:w="2090"/>
      </w:tblGrid>
      <w:tr w:rsidR="004F241E" w:rsidRPr="00143674" w:rsidTr="005860F3">
        <w:trPr>
          <w:cantSplit/>
          <w:trHeight w:val="995"/>
          <w:tblHeader/>
          <w:jc w:val="center"/>
        </w:trPr>
        <w:tc>
          <w:tcPr>
            <w:tcW w:w="15693" w:type="dxa"/>
            <w:gridSpan w:val="5"/>
            <w:shd w:val="clear" w:color="auto" w:fill="FFFFFF"/>
            <w:vAlign w:val="center"/>
          </w:tcPr>
          <w:p w:rsidR="004F241E" w:rsidRPr="00D02C78" w:rsidRDefault="000601ED" w:rsidP="00DE0665">
            <w:pPr>
              <w:rPr>
                <w:rFonts w:asciiTheme="minorHAnsi" w:eastAsia="Times New Roman" w:hAnsiTheme="minorHAnsi" w:cs="Arial"/>
                <w:b/>
                <w:sz w:val="28"/>
                <w:lang w:val="en-GB"/>
              </w:rPr>
            </w:pPr>
            <w:r w:rsidRPr="00143674">
              <w:rPr>
                <w:rFonts w:asciiTheme="minorHAnsi" w:hAnsiTheme="minorHAnsi"/>
                <w:lang w:val="en-GB"/>
              </w:rPr>
              <w:br w:type="page"/>
            </w:r>
            <w:r w:rsidR="004F241E" w:rsidRPr="00D02C78">
              <w:rPr>
                <w:rFonts w:asciiTheme="minorHAnsi" w:eastAsia="Times New Roman" w:hAnsiTheme="minorHAnsi" w:cs="Arial"/>
                <w:b/>
                <w:sz w:val="28"/>
                <w:lang w:val="en-GB"/>
              </w:rPr>
              <w:t xml:space="preserve">2. </w:t>
            </w:r>
            <w:r w:rsidR="004A38CC" w:rsidRPr="00D02C78">
              <w:rPr>
                <w:rFonts w:asciiTheme="minorHAnsi" w:eastAsia="Times New Roman" w:hAnsiTheme="minorHAnsi" w:cs="Arial"/>
                <w:b/>
                <w:sz w:val="28"/>
                <w:lang w:val="en-GB"/>
              </w:rPr>
              <w:t>Develop highly influential educator</w:t>
            </w:r>
            <w:r w:rsidR="00DE5905" w:rsidRPr="00D02C78">
              <w:rPr>
                <w:rFonts w:asciiTheme="minorHAnsi" w:eastAsia="Times New Roman" w:hAnsiTheme="minorHAnsi" w:cs="Arial"/>
                <w:b/>
                <w:sz w:val="28"/>
                <w:lang w:val="en-GB"/>
              </w:rPr>
              <w:t>s</w:t>
            </w:r>
            <w:r w:rsidR="004A38CC" w:rsidRPr="00D02C78">
              <w:rPr>
                <w:rFonts w:asciiTheme="minorHAnsi" w:eastAsia="Times New Roman" w:hAnsiTheme="minorHAnsi" w:cs="Arial"/>
                <w:b/>
                <w:sz w:val="28"/>
                <w:lang w:val="en-GB"/>
              </w:rPr>
              <w:t xml:space="preserve"> to ensure the effective acquisition of the educational content through innovative learning methods and technologies that take into account the individual characteristics of learners </w:t>
            </w:r>
          </w:p>
        </w:tc>
      </w:tr>
      <w:tr w:rsidR="00143674" w:rsidRPr="00143674" w:rsidTr="005860F3">
        <w:trPr>
          <w:cantSplit/>
          <w:trHeight w:val="280"/>
          <w:tblHeader/>
          <w:jc w:val="center"/>
        </w:trPr>
        <w:tc>
          <w:tcPr>
            <w:tcW w:w="3397" w:type="dxa"/>
            <w:tcBorders>
              <w:bottom w:val="double" w:sz="4" w:space="0" w:color="auto"/>
            </w:tcBorders>
            <w:shd w:val="clear" w:color="auto" w:fill="D9D9D9" w:themeFill="background1" w:themeFillShade="D9"/>
            <w:vAlign w:val="center"/>
          </w:tcPr>
          <w:p w:rsidR="00143674" w:rsidRPr="00143674" w:rsidRDefault="00143674" w:rsidP="005860F3">
            <w:pPr>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Strategic Targets</w:t>
            </w:r>
          </w:p>
        </w:tc>
        <w:tc>
          <w:tcPr>
            <w:tcW w:w="4820" w:type="dxa"/>
            <w:tcBorders>
              <w:bottom w:val="double" w:sz="4" w:space="0" w:color="auto"/>
            </w:tcBorders>
            <w:shd w:val="clear" w:color="auto" w:fill="D9D9D9" w:themeFill="background1" w:themeFillShade="D9"/>
            <w:vAlign w:val="center"/>
          </w:tcPr>
          <w:p w:rsidR="00143674" w:rsidRPr="00143674" w:rsidRDefault="00143674" w:rsidP="005860F3">
            <w:pPr>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Measures</w:t>
            </w:r>
          </w:p>
        </w:tc>
        <w:tc>
          <w:tcPr>
            <w:tcW w:w="3544" w:type="dxa"/>
            <w:tcBorders>
              <w:bottom w:val="double" w:sz="4" w:space="0" w:color="auto"/>
            </w:tcBorders>
            <w:shd w:val="clear" w:color="auto" w:fill="D9D9D9" w:themeFill="background1" w:themeFillShade="D9"/>
            <w:vAlign w:val="center"/>
          </w:tcPr>
          <w:p w:rsidR="00143674" w:rsidRPr="00143674" w:rsidRDefault="00143674" w:rsidP="005860F3">
            <w:pPr>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 xml:space="preserve">Necessary Principles for Implementation of the Measure </w:t>
            </w:r>
          </w:p>
        </w:tc>
        <w:tc>
          <w:tcPr>
            <w:tcW w:w="1842" w:type="dxa"/>
            <w:tcBorders>
              <w:bottom w:val="double" w:sz="4" w:space="0" w:color="auto"/>
            </w:tcBorders>
            <w:shd w:val="clear" w:color="auto" w:fill="D9D9D9" w:themeFill="background1" w:themeFillShade="D9"/>
            <w:vAlign w:val="center"/>
          </w:tcPr>
          <w:p w:rsidR="00143674" w:rsidRPr="00143674" w:rsidRDefault="00143674" w:rsidP="005860F3">
            <w:pPr>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Implementation Period (years)</w:t>
            </w:r>
          </w:p>
        </w:tc>
        <w:tc>
          <w:tcPr>
            <w:tcW w:w="2090" w:type="dxa"/>
            <w:tcBorders>
              <w:bottom w:val="double" w:sz="4" w:space="0" w:color="auto"/>
            </w:tcBorders>
            <w:shd w:val="clear" w:color="auto" w:fill="D9D9D9" w:themeFill="background1" w:themeFillShade="D9"/>
            <w:vAlign w:val="center"/>
          </w:tcPr>
          <w:p w:rsidR="00143674" w:rsidRPr="00143674" w:rsidRDefault="00143674" w:rsidP="005860F3">
            <w:pPr>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Implementers</w:t>
            </w:r>
          </w:p>
        </w:tc>
      </w:tr>
      <w:tr w:rsidR="00143674" w:rsidRPr="00143674" w:rsidTr="005860F3">
        <w:trPr>
          <w:cantSplit/>
          <w:trHeight w:val="280"/>
          <w:jc w:val="center"/>
        </w:trPr>
        <w:tc>
          <w:tcPr>
            <w:tcW w:w="3397" w:type="dxa"/>
            <w:vMerge w:val="restart"/>
            <w:tcBorders>
              <w:top w:val="double" w:sz="4" w:space="0" w:color="auto"/>
            </w:tcBorders>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2.1. Create new system to ensure continuous development of professionalism of educators </w:t>
            </w:r>
          </w:p>
          <w:p w:rsidR="00143674" w:rsidRPr="00143674" w:rsidRDefault="00143674" w:rsidP="005860F3">
            <w:pPr>
              <w:rPr>
                <w:rFonts w:asciiTheme="minorHAnsi" w:eastAsia="Times New Roman" w:hAnsiTheme="minorHAnsi" w:cs="Arial"/>
                <w:lang w:val="en-GB"/>
              </w:rPr>
            </w:pPr>
          </w:p>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 </w:t>
            </w:r>
          </w:p>
          <w:p w:rsidR="00143674" w:rsidRPr="00143674" w:rsidRDefault="00143674" w:rsidP="005860F3">
            <w:pPr>
              <w:rPr>
                <w:rFonts w:asciiTheme="minorHAnsi" w:eastAsia="Times New Roman" w:hAnsiTheme="minorHAnsi" w:cs="Arial"/>
                <w:lang w:val="en-GB"/>
              </w:rPr>
            </w:pPr>
          </w:p>
          <w:p w:rsidR="00143674" w:rsidRPr="00143674" w:rsidRDefault="00143674" w:rsidP="005860F3">
            <w:pPr>
              <w:rPr>
                <w:rFonts w:asciiTheme="minorHAnsi" w:eastAsia="Times New Roman" w:hAnsiTheme="minorHAnsi" w:cs="Arial"/>
                <w:lang w:val="en-GB"/>
              </w:rPr>
            </w:pPr>
          </w:p>
          <w:p w:rsidR="00143674" w:rsidRPr="00143674" w:rsidRDefault="00143674" w:rsidP="005860F3">
            <w:pPr>
              <w:rPr>
                <w:rFonts w:asciiTheme="minorHAnsi" w:eastAsia="Times New Roman" w:hAnsiTheme="minorHAnsi" w:cs="Arial"/>
                <w:lang w:val="en-GB"/>
              </w:rPr>
            </w:pPr>
          </w:p>
          <w:p w:rsidR="00143674" w:rsidRPr="00143674" w:rsidRDefault="00143674" w:rsidP="005860F3">
            <w:pPr>
              <w:rPr>
                <w:rFonts w:asciiTheme="minorHAnsi" w:eastAsia="Times New Roman" w:hAnsiTheme="minorHAnsi" w:cs="Arial"/>
                <w:lang w:val="en-GB"/>
              </w:rPr>
            </w:pPr>
          </w:p>
          <w:p w:rsidR="00143674" w:rsidRPr="00143674" w:rsidRDefault="00143674" w:rsidP="005860F3">
            <w:pPr>
              <w:rPr>
                <w:rFonts w:asciiTheme="minorHAnsi" w:eastAsia="Times New Roman" w:hAnsiTheme="minorHAnsi" w:cs="Arial"/>
                <w:lang w:val="en-GB"/>
              </w:rPr>
            </w:pPr>
          </w:p>
          <w:p w:rsidR="00143674" w:rsidRPr="00143674" w:rsidRDefault="00143674" w:rsidP="005860F3">
            <w:pPr>
              <w:rPr>
                <w:rFonts w:asciiTheme="minorHAnsi" w:eastAsia="Times New Roman" w:hAnsiTheme="minorHAnsi" w:cs="Arial"/>
                <w:lang w:val="en-GB"/>
              </w:rPr>
            </w:pPr>
          </w:p>
          <w:p w:rsidR="00143674" w:rsidRPr="00143674" w:rsidRDefault="00143674" w:rsidP="005860F3">
            <w:pPr>
              <w:rPr>
                <w:rFonts w:asciiTheme="minorHAnsi" w:eastAsia="Times New Roman" w:hAnsiTheme="minorHAnsi" w:cs="Arial"/>
                <w:lang w:val="en-GB"/>
              </w:rPr>
            </w:pPr>
          </w:p>
          <w:p w:rsidR="00143674" w:rsidRPr="00143674" w:rsidRDefault="00143674" w:rsidP="005860F3">
            <w:pPr>
              <w:rPr>
                <w:rFonts w:asciiTheme="minorHAnsi" w:eastAsia="Times New Roman" w:hAnsiTheme="minorHAnsi" w:cs="Arial"/>
                <w:lang w:val="en-GB"/>
              </w:rPr>
            </w:pPr>
          </w:p>
          <w:p w:rsidR="00143674" w:rsidRPr="00143674" w:rsidRDefault="00143674" w:rsidP="005860F3">
            <w:pPr>
              <w:rPr>
                <w:rFonts w:asciiTheme="minorHAnsi" w:eastAsia="Times New Roman" w:hAnsiTheme="minorHAnsi" w:cs="Arial"/>
                <w:lang w:val="en-GB"/>
              </w:rPr>
            </w:pPr>
          </w:p>
          <w:p w:rsidR="00143674" w:rsidRPr="00143674" w:rsidRDefault="00143674" w:rsidP="005860F3">
            <w:pPr>
              <w:rPr>
                <w:rFonts w:asciiTheme="minorHAnsi" w:eastAsia="Times New Roman" w:hAnsiTheme="minorHAnsi" w:cs="Arial"/>
                <w:lang w:val="en-GB"/>
              </w:rPr>
            </w:pPr>
          </w:p>
        </w:tc>
        <w:tc>
          <w:tcPr>
            <w:tcW w:w="4820" w:type="dxa"/>
            <w:tcBorders>
              <w:top w:val="double" w:sz="4" w:space="0" w:color="auto"/>
            </w:tcBorders>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lastRenderedPageBreak/>
              <w:t xml:space="preserve">2.1.1. Developing competition mechanisms and holding competitions in order to create innovative training methodology and appropriate resources for all levels of education </w:t>
            </w:r>
          </w:p>
        </w:tc>
        <w:tc>
          <w:tcPr>
            <w:tcW w:w="3544" w:type="dxa"/>
            <w:tcBorders>
              <w:top w:val="double" w:sz="4" w:space="0" w:color="auto"/>
            </w:tcBorders>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tcBorders>
              <w:top w:val="double" w:sz="4" w:space="0" w:color="auto"/>
            </w:tcBorders>
            <w:shd w:val="clear" w:color="auto" w:fill="FFFFFF"/>
          </w:tcPr>
          <w:p w:rsidR="00143674" w:rsidRPr="00143674" w:rsidRDefault="00143674"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as of 2015, regular</w:t>
            </w:r>
          </w:p>
        </w:tc>
        <w:tc>
          <w:tcPr>
            <w:tcW w:w="2090" w:type="dxa"/>
            <w:tcBorders>
              <w:top w:val="double" w:sz="4" w:space="0" w:color="auto"/>
            </w:tcBorders>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143674" w:rsidRPr="00143674" w:rsidTr="005860F3">
        <w:trPr>
          <w:cantSplit/>
          <w:trHeight w:val="280"/>
          <w:jc w:val="center"/>
        </w:trPr>
        <w:tc>
          <w:tcPr>
            <w:tcW w:w="3397" w:type="dxa"/>
            <w:vMerge/>
            <w:shd w:val="clear" w:color="auto" w:fill="FFFFFF"/>
          </w:tcPr>
          <w:p w:rsidR="00143674" w:rsidRPr="00143674" w:rsidRDefault="00143674" w:rsidP="005860F3">
            <w:pPr>
              <w:rPr>
                <w:rFonts w:asciiTheme="minorHAnsi" w:eastAsia="Times New Roman" w:hAnsiTheme="minorHAnsi" w:cs="Arial"/>
                <w:lang w:val="en-GB"/>
              </w:rPr>
            </w:pPr>
          </w:p>
        </w:tc>
        <w:tc>
          <w:tcPr>
            <w:tcW w:w="482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2.1.2. Implementing necessary measures to strengthen the quality of educators in additional education and develop a competitive environment, regardless of the form of ownership </w:t>
            </w:r>
          </w:p>
        </w:tc>
        <w:tc>
          <w:tcPr>
            <w:tcW w:w="3544"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143674" w:rsidRPr="00143674" w:rsidRDefault="00143674"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as of 2015, regular</w:t>
            </w:r>
          </w:p>
        </w:tc>
        <w:tc>
          <w:tcPr>
            <w:tcW w:w="209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Cabinet of Ministers, Ministry of Education</w:t>
            </w:r>
          </w:p>
        </w:tc>
      </w:tr>
      <w:tr w:rsidR="00143674" w:rsidRPr="00143674" w:rsidTr="005860F3">
        <w:trPr>
          <w:cantSplit/>
          <w:trHeight w:val="280"/>
          <w:jc w:val="center"/>
        </w:trPr>
        <w:tc>
          <w:tcPr>
            <w:tcW w:w="3397" w:type="dxa"/>
            <w:vMerge/>
            <w:shd w:val="clear" w:color="auto" w:fill="FFFFFF"/>
          </w:tcPr>
          <w:p w:rsidR="00143674" w:rsidRPr="00143674" w:rsidRDefault="00143674" w:rsidP="005860F3">
            <w:pPr>
              <w:rPr>
                <w:rFonts w:asciiTheme="minorHAnsi" w:eastAsia="Times New Roman" w:hAnsiTheme="minorHAnsi" w:cs="Arial"/>
                <w:lang w:val="en-GB"/>
              </w:rPr>
            </w:pPr>
          </w:p>
        </w:tc>
        <w:tc>
          <w:tcPr>
            <w:tcW w:w="482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2.1.3. Promoting the establishment of additional educational structures in higher education institutions </w:t>
            </w:r>
          </w:p>
        </w:tc>
        <w:tc>
          <w:tcPr>
            <w:tcW w:w="3544"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143674" w:rsidRPr="00143674" w:rsidRDefault="00143674"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as of 2015, regular</w:t>
            </w:r>
          </w:p>
          <w:p w:rsidR="00143674" w:rsidRPr="00143674" w:rsidRDefault="00143674" w:rsidP="005860F3">
            <w:pPr>
              <w:jc w:val="right"/>
              <w:rPr>
                <w:rFonts w:asciiTheme="minorHAnsi" w:eastAsia="Times New Roman" w:hAnsiTheme="minorHAnsi" w:cs="Arial"/>
                <w:lang w:val="en-GB"/>
              </w:rPr>
            </w:pPr>
          </w:p>
        </w:tc>
        <w:tc>
          <w:tcPr>
            <w:tcW w:w="209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143674" w:rsidRPr="00143674" w:rsidTr="005860F3">
        <w:trPr>
          <w:cantSplit/>
          <w:trHeight w:val="280"/>
          <w:jc w:val="center"/>
        </w:trPr>
        <w:tc>
          <w:tcPr>
            <w:tcW w:w="3397" w:type="dxa"/>
            <w:vMerge/>
            <w:shd w:val="clear" w:color="auto" w:fill="FFFFFF"/>
          </w:tcPr>
          <w:p w:rsidR="00143674" w:rsidRPr="00143674" w:rsidRDefault="00143674" w:rsidP="005860F3">
            <w:pPr>
              <w:rPr>
                <w:rFonts w:asciiTheme="minorHAnsi" w:eastAsia="Times New Roman" w:hAnsiTheme="minorHAnsi" w:cs="Arial"/>
                <w:lang w:val="en-GB"/>
              </w:rPr>
            </w:pPr>
          </w:p>
        </w:tc>
        <w:tc>
          <w:tcPr>
            <w:tcW w:w="482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2.1.4. Developing and implementing innovative models for professional development of teachers of general educational institutions ("Mentoring", "Peer-Peer", "Advice", etc.)</w:t>
            </w:r>
          </w:p>
        </w:tc>
        <w:tc>
          <w:tcPr>
            <w:tcW w:w="3544"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143674" w:rsidRPr="00143674" w:rsidRDefault="00143674"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as of 2016, regular</w:t>
            </w:r>
          </w:p>
        </w:tc>
        <w:tc>
          <w:tcPr>
            <w:tcW w:w="209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143674" w:rsidRPr="00143674" w:rsidTr="005860F3">
        <w:trPr>
          <w:cantSplit/>
          <w:trHeight w:val="280"/>
          <w:jc w:val="center"/>
        </w:trPr>
        <w:tc>
          <w:tcPr>
            <w:tcW w:w="3397" w:type="dxa"/>
            <w:vMerge/>
            <w:shd w:val="clear" w:color="auto" w:fill="FFFFFF"/>
          </w:tcPr>
          <w:p w:rsidR="00143674" w:rsidRPr="00143674" w:rsidRDefault="00143674" w:rsidP="005860F3">
            <w:pPr>
              <w:rPr>
                <w:rFonts w:asciiTheme="minorHAnsi" w:eastAsia="Times New Roman" w:hAnsiTheme="minorHAnsi" w:cs="Arial"/>
                <w:lang w:val="en-GB"/>
              </w:rPr>
            </w:pPr>
          </w:p>
        </w:tc>
        <w:tc>
          <w:tcPr>
            <w:tcW w:w="482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2.1.5. Establishing a module-credit and competitive based trainings system for teaching staff </w:t>
            </w:r>
          </w:p>
        </w:tc>
        <w:tc>
          <w:tcPr>
            <w:tcW w:w="3544"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143674" w:rsidRPr="00143674" w:rsidRDefault="00143674"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2016</w:t>
            </w:r>
          </w:p>
        </w:tc>
        <w:tc>
          <w:tcPr>
            <w:tcW w:w="209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143674" w:rsidRPr="00143674" w:rsidTr="005860F3">
        <w:trPr>
          <w:cantSplit/>
          <w:trHeight w:val="280"/>
          <w:jc w:val="center"/>
        </w:trPr>
        <w:tc>
          <w:tcPr>
            <w:tcW w:w="3397" w:type="dxa"/>
            <w:vMerge/>
            <w:tcBorders>
              <w:bottom w:val="single" w:sz="4" w:space="0" w:color="auto"/>
            </w:tcBorders>
            <w:shd w:val="clear" w:color="auto" w:fill="FFFFFF"/>
          </w:tcPr>
          <w:p w:rsidR="00143674" w:rsidRPr="00143674" w:rsidRDefault="00143674" w:rsidP="005860F3">
            <w:pPr>
              <w:rPr>
                <w:rFonts w:asciiTheme="minorHAnsi" w:eastAsia="Times New Roman" w:hAnsiTheme="minorHAnsi" w:cs="Arial"/>
                <w:lang w:val="en-GB"/>
              </w:rPr>
            </w:pPr>
          </w:p>
        </w:tc>
        <w:tc>
          <w:tcPr>
            <w:tcW w:w="482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2.1.6. Development and implementation of assessment and incentive mechanisms for the professional development training outcomes </w:t>
            </w:r>
          </w:p>
        </w:tc>
        <w:tc>
          <w:tcPr>
            <w:tcW w:w="3544"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Assessment of professional development training outcomes and establishment of financial incentives measures system </w:t>
            </w:r>
          </w:p>
        </w:tc>
        <w:tc>
          <w:tcPr>
            <w:tcW w:w="1842" w:type="dxa"/>
            <w:shd w:val="clear" w:color="auto" w:fill="FFFFFF"/>
          </w:tcPr>
          <w:p w:rsidR="00143674" w:rsidRPr="00143674" w:rsidRDefault="00143674"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2017–2018</w:t>
            </w:r>
          </w:p>
        </w:tc>
        <w:tc>
          <w:tcPr>
            <w:tcW w:w="209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143674" w:rsidRPr="00143674" w:rsidTr="005860F3">
        <w:trPr>
          <w:cantSplit/>
          <w:trHeight w:val="280"/>
          <w:jc w:val="center"/>
        </w:trPr>
        <w:tc>
          <w:tcPr>
            <w:tcW w:w="3397" w:type="dxa"/>
            <w:tcBorders>
              <w:bottom w:val="single" w:sz="4" w:space="0" w:color="auto"/>
            </w:tcBorders>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2.2. Develop innovative training, evaluation methodologies and resources aiming to develop thinking and personality development and taking into account the individual characteristics of learners</w:t>
            </w:r>
          </w:p>
        </w:tc>
        <w:tc>
          <w:tcPr>
            <w:tcW w:w="482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2.2.1. Developing and implementing competition and grant mechanisms to stimulate the development of methodological aids, didactic materials, training tools based on new curricula and information and communication technologies</w:t>
            </w:r>
          </w:p>
        </w:tc>
        <w:tc>
          <w:tcPr>
            <w:tcW w:w="3544"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143674" w:rsidRPr="00143674" w:rsidRDefault="00143674"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as of 2016, regular</w:t>
            </w:r>
          </w:p>
        </w:tc>
        <w:tc>
          <w:tcPr>
            <w:tcW w:w="209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143674" w:rsidRPr="00143674" w:rsidTr="005860F3">
        <w:trPr>
          <w:cantSplit/>
          <w:trHeight w:val="280"/>
          <w:jc w:val="center"/>
        </w:trPr>
        <w:tc>
          <w:tcPr>
            <w:tcW w:w="3397" w:type="dxa"/>
            <w:vMerge w:val="restart"/>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lastRenderedPageBreak/>
              <w:t>2.3. Define the public policy development phases to increase the prestige of the profession of teacher</w:t>
            </w:r>
          </w:p>
          <w:p w:rsidR="00143674" w:rsidRPr="00143674" w:rsidRDefault="00143674" w:rsidP="005860F3">
            <w:pPr>
              <w:rPr>
                <w:rFonts w:asciiTheme="minorHAnsi" w:eastAsia="Times New Roman" w:hAnsiTheme="minorHAnsi" w:cs="Arial"/>
                <w:lang w:val="en-GB"/>
              </w:rPr>
            </w:pPr>
          </w:p>
          <w:p w:rsidR="00143674" w:rsidRPr="00143674" w:rsidRDefault="00143674" w:rsidP="005860F3">
            <w:pPr>
              <w:rPr>
                <w:rFonts w:asciiTheme="minorHAnsi" w:eastAsia="Times New Roman" w:hAnsiTheme="minorHAnsi" w:cs="Arial"/>
                <w:lang w:val="en-GB"/>
              </w:rPr>
            </w:pPr>
          </w:p>
          <w:p w:rsidR="00143674" w:rsidRPr="00143674" w:rsidRDefault="00143674" w:rsidP="005860F3">
            <w:pPr>
              <w:rPr>
                <w:rFonts w:asciiTheme="minorHAnsi" w:eastAsia="Times New Roman" w:hAnsiTheme="minorHAnsi" w:cs="Arial"/>
                <w:lang w:val="en-GB"/>
              </w:rPr>
            </w:pPr>
          </w:p>
          <w:p w:rsidR="00143674" w:rsidRPr="00143674" w:rsidRDefault="00143674" w:rsidP="005860F3">
            <w:pPr>
              <w:rPr>
                <w:rFonts w:asciiTheme="minorHAnsi" w:eastAsia="Times New Roman" w:hAnsiTheme="minorHAnsi" w:cs="Arial"/>
                <w:lang w:val="en-GB"/>
              </w:rPr>
            </w:pPr>
          </w:p>
          <w:p w:rsidR="00143674" w:rsidRPr="00143674" w:rsidRDefault="00143674" w:rsidP="005860F3">
            <w:pPr>
              <w:rPr>
                <w:rFonts w:asciiTheme="minorHAnsi" w:eastAsia="Times New Roman" w:hAnsiTheme="minorHAnsi" w:cs="Arial"/>
                <w:lang w:val="en-GB"/>
              </w:rPr>
            </w:pPr>
          </w:p>
          <w:p w:rsidR="00143674" w:rsidRPr="00143674" w:rsidRDefault="00143674" w:rsidP="005860F3">
            <w:pPr>
              <w:rPr>
                <w:rFonts w:asciiTheme="minorHAnsi" w:eastAsia="Times New Roman" w:hAnsiTheme="minorHAnsi" w:cs="Arial"/>
                <w:lang w:val="en-GB"/>
              </w:rPr>
            </w:pPr>
          </w:p>
          <w:p w:rsidR="00143674" w:rsidRPr="00143674" w:rsidRDefault="00143674" w:rsidP="005860F3">
            <w:pPr>
              <w:rPr>
                <w:rFonts w:asciiTheme="minorHAnsi" w:eastAsia="Times New Roman" w:hAnsiTheme="minorHAnsi" w:cs="Arial"/>
                <w:lang w:val="en-GB"/>
              </w:rPr>
            </w:pPr>
          </w:p>
        </w:tc>
        <w:tc>
          <w:tcPr>
            <w:tcW w:w="482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2.3.1. Developing mechanisms for establishment of wages and incentive mechanisms competence and result based differentiated and competitive in </w:t>
            </w:r>
            <w:r w:rsidR="00D02C78" w:rsidRPr="00143674">
              <w:rPr>
                <w:rFonts w:asciiTheme="minorHAnsi" w:eastAsia="Times New Roman" w:hAnsiTheme="minorHAnsi" w:cs="Arial"/>
                <w:lang w:val="en-GB"/>
              </w:rPr>
              <w:t>labour</w:t>
            </w:r>
            <w:r w:rsidRPr="00143674">
              <w:rPr>
                <w:rFonts w:asciiTheme="minorHAnsi" w:eastAsia="Times New Roman" w:hAnsiTheme="minorHAnsi" w:cs="Arial"/>
                <w:lang w:val="en-GB"/>
              </w:rPr>
              <w:t xml:space="preserve"> market</w:t>
            </w:r>
          </w:p>
        </w:tc>
        <w:tc>
          <w:tcPr>
            <w:tcW w:w="3544"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143674" w:rsidRPr="00143674" w:rsidRDefault="00143674"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2015–2016</w:t>
            </w:r>
          </w:p>
        </w:tc>
        <w:tc>
          <w:tcPr>
            <w:tcW w:w="209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 Ministry of Labour and Social Protection of Population</w:t>
            </w:r>
          </w:p>
        </w:tc>
      </w:tr>
      <w:tr w:rsidR="00143674" w:rsidRPr="00143674" w:rsidTr="005860F3">
        <w:trPr>
          <w:cantSplit/>
          <w:trHeight w:val="922"/>
          <w:jc w:val="center"/>
        </w:trPr>
        <w:tc>
          <w:tcPr>
            <w:tcW w:w="3397" w:type="dxa"/>
            <w:vMerge/>
            <w:shd w:val="clear" w:color="auto" w:fill="FFFFFF"/>
          </w:tcPr>
          <w:p w:rsidR="00143674" w:rsidRPr="00143674" w:rsidRDefault="00143674" w:rsidP="005860F3">
            <w:pPr>
              <w:rPr>
                <w:rFonts w:asciiTheme="minorHAnsi" w:eastAsia="Times New Roman" w:hAnsiTheme="minorHAnsi" w:cs="Arial"/>
                <w:lang w:val="en-GB"/>
              </w:rPr>
            </w:pPr>
          </w:p>
        </w:tc>
        <w:tc>
          <w:tcPr>
            <w:tcW w:w="482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2.3.2. Approval of mechanisms for establishing a new salary and incentive system</w:t>
            </w:r>
          </w:p>
        </w:tc>
        <w:tc>
          <w:tcPr>
            <w:tcW w:w="3544" w:type="dxa"/>
            <w:shd w:val="clear" w:color="auto" w:fill="FFFFFF"/>
          </w:tcPr>
          <w:p w:rsidR="00143674" w:rsidRPr="00143674" w:rsidRDefault="00143674" w:rsidP="005860F3">
            <w:pPr>
              <w:rPr>
                <w:rFonts w:asciiTheme="minorHAnsi" w:eastAsia="Times New Roman" w:hAnsiTheme="minorHAnsi" w:cs="Arial"/>
                <w:lang w:val="en-GB"/>
              </w:rPr>
            </w:pPr>
          </w:p>
        </w:tc>
        <w:tc>
          <w:tcPr>
            <w:tcW w:w="1842" w:type="dxa"/>
            <w:shd w:val="clear" w:color="auto" w:fill="FFFFFF"/>
          </w:tcPr>
          <w:p w:rsidR="00143674" w:rsidRPr="00143674" w:rsidRDefault="00143674"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2016</w:t>
            </w:r>
          </w:p>
        </w:tc>
        <w:tc>
          <w:tcPr>
            <w:tcW w:w="2090" w:type="dxa"/>
            <w:shd w:val="clear" w:color="auto" w:fill="FFFFFF"/>
          </w:tcPr>
          <w:p w:rsidR="00143674" w:rsidRPr="00D02C78"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p>
        </w:tc>
      </w:tr>
      <w:tr w:rsidR="00143674" w:rsidRPr="00143674" w:rsidTr="005860F3">
        <w:trPr>
          <w:cantSplit/>
          <w:trHeight w:val="280"/>
          <w:jc w:val="center"/>
        </w:trPr>
        <w:tc>
          <w:tcPr>
            <w:tcW w:w="3397" w:type="dxa"/>
            <w:vMerge/>
            <w:shd w:val="clear" w:color="auto" w:fill="FFFFFF"/>
          </w:tcPr>
          <w:p w:rsidR="00143674" w:rsidRPr="00143674" w:rsidRDefault="00143674" w:rsidP="005860F3">
            <w:pPr>
              <w:rPr>
                <w:rFonts w:asciiTheme="minorHAnsi" w:eastAsia="Times New Roman" w:hAnsiTheme="minorHAnsi" w:cs="Arial"/>
                <w:lang w:val="en-GB"/>
              </w:rPr>
            </w:pPr>
          </w:p>
        </w:tc>
        <w:tc>
          <w:tcPr>
            <w:tcW w:w="482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2.3.3. Implementing mechanisms for establishing a new salary and incentive system</w:t>
            </w:r>
          </w:p>
        </w:tc>
        <w:tc>
          <w:tcPr>
            <w:tcW w:w="3544"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Approval of mechanisms for establishing a new salary and incentive system, allocation of funds for the new system </w:t>
            </w:r>
          </w:p>
        </w:tc>
        <w:tc>
          <w:tcPr>
            <w:tcW w:w="1842" w:type="dxa"/>
            <w:shd w:val="clear" w:color="auto" w:fill="FFFFFF"/>
          </w:tcPr>
          <w:p w:rsidR="00143674" w:rsidRPr="00143674" w:rsidRDefault="00143674"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as of 2017, regular</w:t>
            </w:r>
          </w:p>
        </w:tc>
        <w:tc>
          <w:tcPr>
            <w:tcW w:w="209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143674" w:rsidRPr="00143674" w:rsidTr="005860F3">
        <w:trPr>
          <w:cantSplit/>
          <w:trHeight w:val="280"/>
          <w:jc w:val="center"/>
        </w:trPr>
        <w:tc>
          <w:tcPr>
            <w:tcW w:w="3397" w:type="dxa"/>
            <w:vMerge/>
            <w:shd w:val="clear" w:color="auto" w:fill="FFFFFF"/>
          </w:tcPr>
          <w:p w:rsidR="00143674" w:rsidRPr="00143674" w:rsidRDefault="00143674" w:rsidP="005860F3">
            <w:pPr>
              <w:rPr>
                <w:rFonts w:asciiTheme="minorHAnsi" w:eastAsia="Times New Roman" w:hAnsiTheme="minorHAnsi" w:cs="Arial"/>
                <w:lang w:val="en-GB"/>
              </w:rPr>
            </w:pPr>
          </w:p>
        </w:tc>
        <w:tc>
          <w:tcPr>
            <w:tcW w:w="482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2.3.4. Development and implementation of a new system for career development and activities promotion of  teachers</w:t>
            </w:r>
          </w:p>
        </w:tc>
        <w:tc>
          <w:tcPr>
            <w:tcW w:w="3544"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Implementing mechanisms for establishment of a new salary and incentive system </w:t>
            </w:r>
          </w:p>
        </w:tc>
        <w:tc>
          <w:tcPr>
            <w:tcW w:w="1842" w:type="dxa"/>
            <w:shd w:val="clear" w:color="auto" w:fill="FFFFFF"/>
          </w:tcPr>
          <w:p w:rsidR="00143674" w:rsidRPr="00143674" w:rsidRDefault="00143674"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2018</w:t>
            </w:r>
          </w:p>
        </w:tc>
        <w:tc>
          <w:tcPr>
            <w:tcW w:w="209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143674" w:rsidRPr="00143674" w:rsidTr="005860F3">
        <w:trPr>
          <w:cantSplit/>
          <w:trHeight w:val="280"/>
          <w:jc w:val="center"/>
        </w:trPr>
        <w:tc>
          <w:tcPr>
            <w:tcW w:w="3397" w:type="dxa"/>
            <w:vMerge/>
            <w:shd w:val="clear" w:color="auto" w:fill="FFFFFF"/>
          </w:tcPr>
          <w:p w:rsidR="00143674" w:rsidRPr="00143674" w:rsidRDefault="00143674" w:rsidP="005860F3">
            <w:pPr>
              <w:rPr>
                <w:rFonts w:asciiTheme="minorHAnsi" w:eastAsia="Times New Roman" w:hAnsiTheme="minorHAnsi" w:cs="Arial"/>
                <w:lang w:val="en-GB"/>
              </w:rPr>
            </w:pPr>
          </w:p>
        </w:tc>
        <w:tc>
          <w:tcPr>
            <w:tcW w:w="482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2.3.5. Development and implementation of a system for the monitoring of teacher performance indicators</w:t>
            </w:r>
          </w:p>
        </w:tc>
        <w:tc>
          <w:tcPr>
            <w:tcW w:w="3544"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143674" w:rsidRPr="00143674" w:rsidRDefault="00143674"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2015–2016</w:t>
            </w:r>
          </w:p>
        </w:tc>
        <w:tc>
          <w:tcPr>
            <w:tcW w:w="209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143674" w:rsidRPr="00143674" w:rsidTr="005860F3">
        <w:trPr>
          <w:cantSplit/>
          <w:trHeight w:val="280"/>
          <w:jc w:val="center"/>
        </w:trPr>
        <w:tc>
          <w:tcPr>
            <w:tcW w:w="3397" w:type="dxa"/>
            <w:vMerge/>
            <w:shd w:val="clear" w:color="auto" w:fill="FFFFFF"/>
          </w:tcPr>
          <w:p w:rsidR="00143674" w:rsidRPr="00143674" w:rsidRDefault="00143674" w:rsidP="005860F3">
            <w:pPr>
              <w:rPr>
                <w:rFonts w:asciiTheme="minorHAnsi" w:eastAsia="Times New Roman" w:hAnsiTheme="minorHAnsi" w:cs="Arial"/>
                <w:lang w:val="en-GB"/>
              </w:rPr>
            </w:pPr>
          </w:p>
        </w:tc>
        <w:tc>
          <w:tcPr>
            <w:tcW w:w="482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2.3.6. Holding competitions as well as grant projects to encourage healthy competition among teachers </w:t>
            </w:r>
          </w:p>
        </w:tc>
        <w:tc>
          <w:tcPr>
            <w:tcW w:w="3544"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143674" w:rsidRPr="00143674" w:rsidRDefault="00143674"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as of 2015, regular</w:t>
            </w:r>
          </w:p>
        </w:tc>
        <w:tc>
          <w:tcPr>
            <w:tcW w:w="209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143674" w:rsidRPr="00143674" w:rsidTr="005860F3">
        <w:trPr>
          <w:cantSplit/>
          <w:trHeight w:val="280"/>
          <w:jc w:val="center"/>
        </w:trPr>
        <w:tc>
          <w:tcPr>
            <w:tcW w:w="3397" w:type="dxa"/>
            <w:vMerge/>
            <w:shd w:val="clear" w:color="auto" w:fill="FFFFFF"/>
          </w:tcPr>
          <w:p w:rsidR="00143674" w:rsidRPr="00143674" w:rsidRDefault="00143674" w:rsidP="005860F3">
            <w:pPr>
              <w:rPr>
                <w:rFonts w:asciiTheme="minorHAnsi" w:eastAsia="Times New Roman" w:hAnsiTheme="minorHAnsi" w:cs="Arial"/>
                <w:lang w:val="en-GB"/>
              </w:rPr>
            </w:pPr>
          </w:p>
        </w:tc>
        <w:tc>
          <w:tcPr>
            <w:tcW w:w="482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2.3.7. Developing and approving rules for application of  internship model in the teachers training system</w:t>
            </w:r>
          </w:p>
        </w:tc>
        <w:tc>
          <w:tcPr>
            <w:tcW w:w="3544"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143674" w:rsidRPr="00143674" w:rsidRDefault="00143674"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2016–2017</w:t>
            </w:r>
          </w:p>
        </w:tc>
        <w:tc>
          <w:tcPr>
            <w:tcW w:w="209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Cabinet of Ministers, Ministry of Education</w:t>
            </w:r>
          </w:p>
        </w:tc>
      </w:tr>
      <w:tr w:rsidR="00143674" w:rsidRPr="00143674" w:rsidTr="005860F3">
        <w:trPr>
          <w:cantSplit/>
          <w:trHeight w:val="280"/>
          <w:jc w:val="center"/>
        </w:trPr>
        <w:tc>
          <w:tcPr>
            <w:tcW w:w="3397" w:type="dxa"/>
            <w:vMerge/>
            <w:shd w:val="clear" w:color="auto" w:fill="FFFFFF"/>
          </w:tcPr>
          <w:p w:rsidR="00143674" w:rsidRPr="00143674" w:rsidRDefault="00143674" w:rsidP="005860F3">
            <w:pPr>
              <w:rPr>
                <w:rFonts w:asciiTheme="minorHAnsi" w:eastAsia="Times New Roman" w:hAnsiTheme="minorHAnsi" w:cs="Arial"/>
                <w:lang w:val="en-GB"/>
              </w:rPr>
            </w:pPr>
          </w:p>
        </w:tc>
        <w:tc>
          <w:tcPr>
            <w:tcW w:w="482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2.3.8. Developing and implementing targeted extra educational programmes on inclusive education of educators in pre-school and general educational institutions </w:t>
            </w:r>
          </w:p>
        </w:tc>
        <w:tc>
          <w:tcPr>
            <w:tcW w:w="3544"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143674" w:rsidRPr="00143674" w:rsidRDefault="00143674"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as of 2017, regular</w:t>
            </w:r>
          </w:p>
        </w:tc>
        <w:tc>
          <w:tcPr>
            <w:tcW w:w="2090" w:type="dxa"/>
            <w:shd w:val="clear" w:color="auto" w:fill="FFFFFF"/>
          </w:tcPr>
          <w:p w:rsidR="00143674" w:rsidRPr="00143674" w:rsidRDefault="00143674"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 local executive power authorities</w:t>
            </w:r>
          </w:p>
        </w:tc>
      </w:tr>
    </w:tbl>
    <w:p w:rsidR="00882992" w:rsidRPr="00143674" w:rsidRDefault="00882992">
      <w:pPr>
        <w:rPr>
          <w:rFonts w:asciiTheme="minorHAnsi" w:hAnsiTheme="minorHAnsi"/>
          <w:lang w:val="en-GB"/>
        </w:rPr>
      </w:pPr>
    </w:p>
    <w:tbl>
      <w:tblPr>
        <w:tblW w:w="15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424"/>
        <w:gridCol w:w="4820"/>
        <w:gridCol w:w="3544"/>
        <w:gridCol w:w="1842"/>
        <w:gridCol w:w="2117"/>
      </w:tblGrid>
      <w:tr w:rsidR="00882992" w:rsidRPr="00143674" w:rsidTr="005860F3">
        <w:trPr>
          <w:cantSplit/>
          <w:trHeight w:val="280"/>
          <w:tblHeader/>
          <w:jc w:val="center"/>
        </w:trPr>
        <w:tc>
          <w:tcPr>
            <w:tcW w:w="15747" w:type="dxa"/>
            <w:gridSpan w:val="5"/>
            <w:shd w:val="clear" w:color="auto" w:fill="FFFFFF"/>
            <w:vAlign w:val="center"/>
          </w:tcPr>
          <w:p w:rsidR="00882992" w:rsidRPr="008605B0" w:rsidRDefault="00882992" w:rsidP="008605B0">
            <w:pPr>
              <w:spacing w:before="120" w:after="120"/>
              <w:rPr>
                <w:rFonts w:asciiTheme="minorHAnsi" w:eastAsia="Times New Roman" w:hAnsiTheme="minorHAnsi" w:cs="Arial"/>
                <w:sz w:val="28"/>
                <w:lang w:val="en-GB"/>
              </w:rPr>
            </w:pPr>
            <w:r w:rsidRPr="008605B0">
              <w:rPr>
                <w:rFonts w:asciiTheme="minorHAnsi" w:eastAsia="Times New Roman" w:hAnsiTheme="minorHAnsi" w:cs="Arial"/>
                <w:b/>
                <w:sz w:val="28"/>
                <w:lang w:val="en-GB"/>
              </w:rPr>
              <w:t>3. Formation of the public policy administration system with responsible, transparent and effective regulation mechanisms, based on state-business partnership</w:t>
            </w:r>
          </w:p>
        </w:tc>
      </w:tr>
      <w:tr w:rsidR="00D02C78" w:rsidRPr="00143674" w:rsidTr="005860F3">
        <w:trPr>
          <w:cantSplit/>
          <w:trHeight w:val="280"/>
          <w:tblHeader/>
          <w:jc w:val="center"/>
        </w:trPr>
        <w:tc>
          <w:tcPr>
            <w:tcW w:w="3424" w:type="dxa"/>
            <w:tcBorders>
              <w:bottom w:val="double" w:sz="4" w:space="0" w:color="auto"/>
            </w:tcBorders>
            <w:shd w:val="clear" w:color="auto" w:fill="D9D9D9" w:themeFill="background1" w:themeFillShade="D9"/>
            <w:vAlign w:val="center"/>
          </w:tcPr>
          <w:p w:rsidR="00D02C78" w:rsidRPr="00143674" w:rsidRDefault="00D02C78" w:rsidP="009C120B">
            <w:pPr>
              <w:spacing w:before="60" w:after="60"/>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Strategic Targets</w:t>
            </w:r>
          </w:p>
        </w:tc>
        <w:tc>
          <w:tcPr>
            <w:tcW w:w="4820" w:type="dxa"/>
            <w:tcBorders>
              <w:bottom w:val="double" w:sz="4" w:space="0" w:color="auto"/>
            </w:tcBorders>
            <w:shd w:val="clear" w:color="auto" w:fill="D9D9D9" w:themeFill="background1" w:themeFillShade="D9"/>
            <w:vAlign w:val="center"/>
          </w:tcPr>
          <w:p w:rsidR="00D02C78" w:rsidRPr="00143674" w:rsidRDefault="00D02C78" w:rsidP="009C120B">
            <w:pPr>
              <w:spacing w:before="60" w:after="60"/>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Measures</w:t>
            </w:r>
          </w:p>
        </w:tc>
        <w:tc>
          <w:tcPr>
            <w:tcW w:w="3544" w:type="dxa"/>
            <w:tcBorders>
              <w:bottom w:val="double" w:sz="4" w:space="0" w:color="auto"/>
            </w:tcBorders>
            <w:shd w:val="clear" w:color="auto" w:fill="D9D9D9" w:themeFill="background1" w:themeFillShade="D9"/>
            <w:vAlign w:val="center"/>
          </w:tcPr>
          <w:p w:rsidR="00D02C78" w:rsidRPr="00143674" w:rsidRDefault="00D02C78" w:rsidP="009C120B">
            <w:pPr>
              <w:spacing w:before="60" w:after="60"/>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 xml:space="preserve">Necessary Principles for Implementation of the Measure </w:t>
            </w:r>
          </w:p>
        </w:tc>
        <w:tc>
          <w:tcPr>
            <w:tcW w:w="1842" w:type="dxa"/>
            <w:tcBorders>
              <w:bottom w:val="double" w:sz="4" w:space="0" w:color="auto"/>
            </w:tcBorders>
            <w:shd w:val="clear" w:color="auto" w:fill="D9D9D9" w:themeFill="background1" w:themeFillShade="D9"/>
            <w:vAlign w:val="center"/>
          </w:tcPr>
          <w:p w:rsidR="00D02C78" w:rsidRPr="00143674" w:rsidRDefault="00D02C78" w:rsidP="005860F3">
            <w:pPr>
              <w:spacing w:before="60" w:after="60"/>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Implementation Period (years)</w:t>
            </w:r>
          </w:p>
        </w:tc>
        <w:tc>
          <w:tcPr>
            <w:tcW w:w="2117" w:type="dxa"/>
            <w:tcBorders>
              <w:bottom w:val="double" w:sz="4" w:space="0" w:color="auto"/>
            </w:tcBorders>
            <w:shd w:val="clear" w:color="auto" w:fill="D9D9D9" w:themeFill="background1" w:themeFillShade="D9"/>
            <w:vAlign w:val="center"/>
          </w:tcPr>
          <w:p w:rsidR="00D02C78" w:rsidRPr="00143674" w:rsidRDefault="00D02C78" w:rsidP="009C120B">
            <w:pPr>
              <w:spacing w:before="60" w:after="60"/>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Implementers</w:t>
            </w:r>
          </w:p>
        </w:tc>
      </w:tr>
      <w:tr w:rsidR="00882992" w:rsidRPr="00143674" w:rsidTr="005860F3">
        <w:trPr>
          <w:cantSplit/>
          <w:trHeight w:val="280"/>
          <w:jc w:val="center"/>
        </w:trPr>
        <w:tc>
          <w:tcPr>
            <w:tcW w:w="3424" w:type="dxa"/>
            <w:vMerge w:val="restart"/>
            <w:tcBorders>
              <w:top w:val="double" w:sz="4" w:space="0" w:color="auto"/>
            </w:tcBorders>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3.1. Improvement of the regulation of education system and management of the state-owned education sector based on international practice, compliance of the</w:t>
            </w:r>
            <w:r w:rsidR="008605B0">
              <w:rPr>
                <w:rFonts w:asciiTheme="minorHAnsi" w:eastAsia="Times New Roman" w:hAnsiTheme="minorHAnsi" w:cs="Arial"/>
                <w:lang w:val="en-GB"/>
              </w:rPr>
              <w:t xml:space="preserve"> </w:t>
            </w:r>
            <w:r w:rsidRPr="00143674">
              <w:rPr>
                <w:rFonts w:asciiTheme="minorHAnsi" w:eastAsia="Times New Roman" w:hAnsiTheme="minorHAnsi" w:cs="Arial"/>
                <w:lang w:val="en-GB"/>
              </w:rPr>
              <w:t>stages of education and their levels with the international experience</w:t>
            </w:r>
          </w:p>
        </w:tc>
        <w:tc>
          <w:tcPr>
            <w:tcW w:w="4820" w:type="dxa"/>
            <w:tcBorders>
              <w:top w:val="double" w:sz="4" w:space="0" w:color="auto"/>
            </w:tcBorders>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3.1.1.  Preparing and submission of proposals on ensuring compliance of powers and responsibilities of the state structures that </w:t>
            </w:r>
            <w:r w:rsidR="008605B0" w:rsidRPr="00143674">
              <w:rPr>
                <w:rFonts w:asciiTheme="minorHAnsi" w:eastAsia="Times New Roman" w:hAnsiTheme="minorHAnsi" w:cs="Arial"/>
                <w:lang w:val="en-GB"/>
              </w:rPr>
              <w:t>fulfil</w:t>
            </w:r>
            <w:r w:rsidRPr="00143674">
              <w:rPr>
                <w:rFonts w:asciiTheme="minorHAnsi" w:eastAsia="Times New Roman" w:hAnsiTheme="minorHAnsi" w:cs="Arial"/>
                <w:lang w:val="en-GB"/>
              </w:rPr>
              <w:t xml:space="preserve"> the regulatory and administration functions in education system with the international practice</w:t>
            </w:r>
          </w:p>
        </w:tc>
        <w:tc>
          <w:tcPr>
            <w:tcW w:w="3544" w:type="dxa"/>
            <w:tcBorders>
              <w:top w:val="double" w:sz="4" w:space="0" w:color="auto"/>
            </w:tcBorders>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tcBorders>
              <w:top w:val="double" w:sz="4" w:space="0" w:color="auto"/>
            </w:tcBorders>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2015–2016</w:t>
            </w:r>
          </w:p>
        </w:tc>
        <w:tc>
          <w:tcPr>
            <w:tcW w:w="2117" w:type="dxa"/>
            <w:tcBorders>
              <w:top w:val="double" w:sz="4" w:space="0" w:color="auto"/>
            </w:tcBorders>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Cabinet of Ministers, Ministry of Education</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3.1.2. preparing proposals to ensure compliance of stages and levels of education with the international practice</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2016</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3.1.3. Preparing and application of the execution mechanism to ensure one-year mandatory preschool education </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improving existing mechanisms, allocating financial means</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2016–2018</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Cabinet of Ministers, Ministry of Education</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3.1.4.  Preparing the state program on development of preschool education to ensure 90% coverage of </w:t>
            </w:r>
            <w:r w:rsidR="008605B0" w:rsidRPr="00143674">
              <w:rPr>
                <w:rFonts w:asciiTheme="minorHAnsi" w:eastAsia="Times New Roman" w:hAnsiTheme="minorHAnsi" w:cs="Arial"/>
                <w:lang w:val="en-GB"/>
              </w:rPr>
              <w:t>children</w:t>
            </w:r>
            <w:r w:rsidRPr="00143674">
              <w:rPr>
                <w:rFonts w:asciiTheme="minorHAnsi" w:eastAsia="Times New Roman" w:hAnsiTheme="minorHAnsi" w:cs="Arial"/>
                <w:lang w:val="en-GB"/>
              </w:rPr>
              <w:t xml:space="preserve"> by the preschool education</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2015–2016</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Cabinet of Ministers, Ministry of Education, Baku city executive power, local executive bodies</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3.1.5. Preparing proposals on the mechanism of transfer to 12-year secondary education system</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2017–2018</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Cabinet of Ministers, Ministry of Education </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3.1.6. Division of secondary education facilities into various directions and organization of their activity</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Regularly, beginning from 2017</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3.1.7. Preparing new infrastructure-related norms, standards and rules of educational institutions</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2017–2018</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3.1.8. Approval of new infrastructure-related norms, standards and rules of educational institutions</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2019</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p>
        </w:tc>
      </w:tr>
      <w:tr w:rsidR="00882992" w:rsidRPr="00143674" w:rsidTr="005860F3">
        <w:trPr>
          <w:cantSplit/>
          <w:trHeight w:val="15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3.1.9. Application of new infrastructure-related norms, standards and rules of educational institutions</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Approval of infrastructure-related norms, standards and rules of educational institutions by the Cabinet of Ministers</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Regularly, beginning from 2019</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82992" w:rsidRPr="00143674" w:rsidTr="005860F3">
        <w:trPr>
          <w:cantSplit/>
          <w:trHeight w:val="15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3.1.10. Preparing accreditation rules of educational facilities and education programs based on international experience</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2016-2017</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82992" w:rsidRPr="00143674" w:rsidTr="005860F3">
        <w:trPr>
          <w:cantSplit/>
          <w:trHeight w:val="15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3.1.11. Approval of accreditation rules of educational institutions and education programs</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2017</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p>
        </w:tc>
      </w:tr>
      <w:tr w:rsidR="00882992" w:rsidRPr="00143674" w:rsidTr="005860F3">
        <w:trPr>
          <w:cantSplit/>
          <w:trHeight w:val="15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3.1.12. Preparing proposals on creation of the legislative framework for state-business partnership system in the sphere of education </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2017–2018</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Cabinet of Ministers, Ministry of Education, Ministry of Economy and Industry, Ministry of Justice</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3.1.13. Preparation and approval of a new mechanism of formation of the state order covering staff training in priority spheres with respect to the real demand in social, economic and political development of the country. </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2015-2016</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3.1.14. Application of a new mechanism on formation of state order on training staff in education system</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Application of the new mechanism on formation of the state order on training staff in education system</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 xml:space="preserve">Regularly, beginning from 2016 </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 Ministry of Economy and Industry</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3.1.15.  Preparation and submission for approval of new admission and placement mechanisms envisaging termination of the admission plan on paid education at high and secondary special education institutions, regardless of their form of ownership, and determination of state order based only on specialties</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2015–2016</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p>
        </w:tc>
      </w:tr>
      <w:tr w:rsidR="00882992" w:rsidRPr="00143674" w:rsidTr="005860F3">
        <w:trPr>
          <w:cantSplit/>
          <w:trHeight w:val="280"/>
          <w:jc w:val="center"/>
        </w:trPr>
        <w:tc>
          <w:tcPr>
            <w:tcW w:w="3424" w:type="dxa"/>
            <w:vMerge/>
            <w:tcBorders>
              <w:bottom w:val="single" w:sz="4" w:space="0" w:color="auto"/>
            </w:tcBorders>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3.1.16. Application of new admission and placement mechanisms at high and secondary special education institutions</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Approval of the new admission and placement mechanism</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Regularly, from 2016-</w:t>
            </w:r>
          </w:p>
          <w:p w:rsidR="00882992" w:rsidRPr="00143674" w:rsidRDefault="00882992" w:rsidP="005860F3">
            <w:pPr>
              <w:jc w:val="right"/>
              <w:rPr>
                <w:rFonts w:asciiTheme="minorHAnsi" w:eastAsia="Times New Roman" w:hAnsiTheme="minorHAnsi" w:cs="Arial"/>
                <w:lang w:val="en-GB"/>
              </w:rPr>
            </w:pP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 State Commission for Students’ Admission</w:t>
            </w:r>
          </w:p>
        </w:tc>
      </w:tr>
      <w:tr w:rsidR="00882992" w:rsidRPr="00143674" w:rsidTr="005860F3">
        <w:trPr>
          <w:cantSplit/>
          <w:trHeight w:val="280"/>
          <w:jc w:val="center"/>
        </w:trPr>
        <w:tc>
          <w:tcPr>
            <w:tcW w:w="3424" w:type="dxa"/>
            <w:vMerge w:val="restart"/>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3.2. Creation of result-oriented and transparent regulation model at educational institutions</w:t>
            </w: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3.2.1. Creation of a legislative framework for granting administrative, academic, financial and organizational autonomy to educational institutions</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2018-2020</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Cabinet of Ministers, Ministry of Education</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3.2.2. Creation of the application mechanisms for strategic regulation of education institutions</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2020</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82992" w:rsidRPr="00143674" w:rsidTr="005860F3">
        <w:trPr>
          <w:cantSplit/>
          <w:trHeight w:val="280"/>
          <w:jc w:val="center"/>
        </w:trPr>
        <w:tc>
          <w:tcPr>
            <w:tcW w:w="3424" w:type="dxa"/>
            <w:vMerge/>
            <w:tcBorders>
              <w:bottom w:val="single" w:sz="4" w:space="0" w:color="auto"/>
            </w:tcBorders>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3.2.3. Preparing proposals on creation of state-public administration structures (Parents-Teachers Association, Regulatory Board, Board of Trustees, etc</w:t>
            </w:r>
            <w:r w:rsidR="008605B0">
              <w:rPr>
                <w:rFonts w:asciiTheme="minorHAnsi" w:eastAsia="Times New Roman" w:hAnsiTheme="minorHAnsi" w:cs="Arial"/>
                <w:lang w:val="en-GB"/>
              </w:rPr>
              <w:t>.</w:t>
            </w:r>
            <w:r w:rsidRPr="00143674">
              <w:rPr>
                <w:rFonts w:asciiTheme="minorHAnsi" w:eastAsia="Times New Roman" w:hAnsiTheme="minorHAnsi" w:cs="Arial"/>
                <w:lang w:val="en-GB"/>
              </w:rPr>
              <w:t>) at educational institutions by ensuring participation of the representatives of the concerned parties</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2020-2021</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82992" w:rsidRPr="00143674" w:rsidTr="005860F3">
        <w:trPr>
          <w:cantSplit/>
          <w:trHeight w:val="177"/>
          <w:jc w:val="center"/>
        </w:trPr>
        <w:tc>
          <w:tcPr>
            <w:tcW w:w="3424" w:type="dxa"/>
            <w:vMerge w:val="restart"/>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3.3. Creation of a new system on ensuring quality of education</w:t>
            </w: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3.3.1.  Preparation of quality standards and indexes for all stages and levels of education</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2015–2017</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3.3.2. Development of the draft National Qualification Framework on lifelong education</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2015-2016</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Ministry of Education, Ministry of </w:t>
            </w:r>
            <w:r w:rsidR="00CF09A1">
              <w:rPr>
                <w:rFonts w:asciiTheme="minorHAnsi" w:eastAsia="Times New Roman" w:hAnsiTheme="minorHAnsi" w:cs="Arial"/>
                <w:lang w:val="en-GB"/>
              </w:rPr>
              <w:t>Labour</w:t>
            </w:r>
            <w:r w:rsidRPr="00143674">
              <w:rPr>
                <w:rFonts w:asciiTheme="minorHAnsi" w:eastAsia="Times New Roman" w:hAnsiTheme="minorHAnsi" w:cs="Arial"/>
                <w:lang w:val="en-GB"/>
              </w:rPr>
              <w:t xml:space="preserve"> and Social Protection of Population</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3.3.3. Approval of National Qualification Framework on lifelong education</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2016</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3.3.4. Application of National Qualification Framework on lifelong education</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Approval of the National Qualification Framework</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Regularly, from 2016</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3.3.5. Preparing proposals on creation of a legislative framework for organization of lifelong education and informal education and assessment of knowledge and skills of those who were educated this way</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2016-2017</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Cabinet of Ministers, Ministry of Education, Ministry of </w:t>
            </w:r>
            <w:r w:rsidR="00CF09A1">
              <w:rPr>
                <w:rFonts w:asciiTheme="minorHAnsi" w:eastAsia="Times New Roman" w:hAnsiTheme="minorHAnsi" w:cs="Arial"/>
                <w:lang w:val="en-GB"/>
              </w:rPr>
              <w:t>Labour</w:t>
            </w:r>
            <w:r w:rsidRPr="00143674">
              <w:rPr>
                <w:rFonts w:asciiTheme="minorHAnsi" w:eastAsia="Times New Roman" w:hAnsiTheme="minorHAnsi" w:cs="Arial"/>
                <w:lang w:val="en-GB"/>
              </w:rPr>
              <w:t xml:space="preserve"> and Social Protection</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3.3.6. Preparation and implementation of due mechanisms on recognition and application of international education programs</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Regu</w:t>
            </w:r>
            <w:r w:rsidR="008605B0">
              <w:rPr>
                <w:rFonts w:asciiTheme="minorHAnsi" w:eastAsia="Times New Roman" w:hAnsiTheme="minorHAnsi" w:cs="Arial"/>
                <w:lang w:val="en-GB"/>
              </w:rPr>
              <w:t>l</w:t>
            </w:r>
            <w:r w:rsidRPr="00143674">
              <w:rPr>
                <w:rFonts w:asciiTheme="minorHAnsi" w:eastAsia="Times New Roman" w:hAnsiTheme="minorHAnsi" w:cs="Arial"/>
                <w:lang w:val="en-GB"/>
              </w:rPr>
              <w:t>arly from 2016</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3.3.7. Creation of the rating system of an educational institution </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2016</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Ministry of Education </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3.3.8. Preparation of the mechanism for certification of the pedagogical and administrative staff on preschool and secondary education</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2015-2016</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3.3.9. Approval of the mechanism for certification of the pedagogical and administrative staff in preschool and secondary education</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2016</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3.3.10.  Application of the mechanism for certification of the pedagogical and administrative staff in preschool and secondary education</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Approval of the mechanism for certification of the pedagogical and administrative staff in preschool and secondary education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Regularly from 2016</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3.3.11. Creation and application of the stimulation mechanisms to improve quality and a grant system encouraging the innovative activity in education</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Regularly from 2015</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82992" w:rsidRPr="00143674" w:rsidTr="005860F3">
        <w:trPr>
          <w:cantSplit/>
          <w:trHeight w:val="280"/>
          <w:jc w:val="center"/>
        </w:trPr>
        <w:tc>
          <w:tcPr>
            <w:tcW w:w="3424" w:type="dxa"/>
            <w:vMerge/>
            <w:tcBorders>
              <w:bottom w:val="single" w:sz="4" w:space="0" w:color="auto"/>
            </w:tcBorders>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3.3.12. Stimulation of sound competition among education programs, teaching resources, teaching methods, teachers, educational facilities and determination and application of competition elements</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Regularly from 2016</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82992" w:rsidRPr="00143674" w:rsidTr="005860F3">
        <w:trPr>
          <w:cantSplit/>
          <w:trHeight w:val="280"/>
          <w:jc w:val="center"/>
        </w:trPr>
        <w:tc>
          <w:tcPr>
            <w:tcW w:w="3424" w:type="dxa"/>
            <w:vMerge w:val="restart"/>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3.4. Creation of information systems and a new reporting model for education management</w:t>
            </w:r>
          </w:p>
        </w:tc>
        <w:tc>
          <w:tcPr>
            <w:tcW w:w="4820" w:type="dxa"/>
            <w:shd w:val="clear" w:color="auto" w:fill="FFFFFF"/>
          </w:tcPr>
          <w:p w:rsidR="00882992" w:rsidRPr="00143674" w:rsidRDefault="00882992" w:rsidP="005860F3">
            <w:pPr>
              <w:rPr>
                <w:rFonts w:asciiTheme="minorHAnsi" w:hAnsiTheme="minorHAnsi" w:cs="Arial"/>
                <w:lang w:val="en-GB"/>
              </w:rPr>
            </w:pPr>
            <w:r w:rsidRPr="00143674">
              <w:rPr>
                <w:rFonts w:asciiTheme="minorHAnsi" w:eastAsia="Times New Roman" w:hAnsiTheme="minorHAnsi" w:cs="Arial"/>
                <w:lang w:val="en-GB"/>
              </w:rPr>
              <w:t xml:space="preserve">3.4.1. </w:t>
            </w:r>
            <w:r w:rsidRPr="00143674">
              <w:rPr>
                <w:rFonts w:asciiTheme="minorHAnsi" w:hAnsiTheme="minorHAnsi" w:cs="Arial"/>
                <w:lang w:val="en-GB"/>
              </w:rPr>
              <w:t>Creation of the reporting, analysis and forecasting system of based on the Information System and Student-Graduate system of Education Management for all stages of education and their regular updating.</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Allocation of financial means</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Regularly from 2016</w:t>
            </w:r>
          </w:p>
          <w:p w:rsidR="00882992" w:rsidRPr="00143674" w:rsidRDefault="00882992" w:rsidP="005860F3">
            <w:pPr>
              <w:jc w:val="right"/>
              <w:rPr>
                <w:rFonts w:asciiTheme="minorHAnsi" w:eastAsia="Times New Roman" w:hAnsiTheme="minorHAnsi" w:cs="Arial"/>
                <w:lang w:val="en-GB"/>
              </w:rPr>
            </w:pP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 State Commission for Students’ Admission,</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3.4.2. Creation, updating and the use of databases and graduate coordination and information systems in the regulation process at education facilities</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Regularly from 2016</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82992" w:rsidRPr="00143674" w:rsidTr="005860F3">
        <w:trPr>
          <w:cantSplit/>
          <w:trHeight w:val="280"/>
          <w:jc w:val="center"/>
        </w:trPr>
        <w:tc>
          <w:tcPr>
            <w:tcW w:w="3424" w:type="dxa"/>
            <w:vMerge/>
            <w:tcBorders>
              <w:bottom w:val="nil"/>
            </w:tcBorders>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3.4.3. creation and application of the regular </w:t>
            </w:r>
            <w:r w:rsidR="008605B0" w:rsidRPr="00143674">
              <w:rPr>
                <w:rFonts w:asciiTheme="minorHAnsi" w:eastAsia="Times New Roman" w:hAnsiTheme="minorHAnsi" w:cs="Arial"/>
                <w:lang w:val="en-GB"/>
              </w:rPr>
              <w:t>labour</w:t>
            </w:r>
            <w:r w:rsidRPr="00143674">
              <w:rPr>
                <w:rFonts w:asciiTheme="minorHAnsi" w:eastAsia="Times New Roman" w:hAnsiTheme="minorHAnsi" w:cs="Arial"/>
                <w:lang w:val="en-GB"/>
              </w:rPr>
              <w:t xml:space="preserve"> market research system</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2016-2017</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xml:space="preserve">Ministry of </w:t>
            </w:r>
            <w:r w:rsidR="008605B0" w:rsidRPr="00143674">
              <w:rPr>
                <w:rFonts w:asciiTheme="minorHAnsi" w:eastAsia="Times New Roman" w:hAnsiTheme="minorHAnsi" w:cs="Arial"/>
                <w:lang w:val="en-GB"/>
              </w:rPr>
              <w:t>Labour</w:t>
            </w:r>
            <w:r w:rsidRPr="00143674">
              <w:rPr>
                <w:rFonts w:asciiTheme="minorHAnsi" w:eastAsia="Times New Roman" w:hAnsiTheme="minorHAnsi" w:cs="Arial"/>
                <w:lang w:val="en-GB"/>
              </w:rPr>
              <w:t xml:space="preserve"> and Social Protection, Ministry of Economy and Industry, Ministry of Education</w:t>
            </w:r>
          </w:p>
        </w:tc>
      </w:tr>
      <w:tr w:rsidR="00882992" w:rsidRPr="00143674" w:rsidTr="005860F3">
        <w:trPr>
          <w:cantSplit/>
          <w:trHeight w:val="280"/>
          <w:jc w:val="center"/>
        </w:trPr>
        <w:tc>
          <w:tcPr>
            <w:tcW w:w="3424" w:type="dxa"/>
            <w:vMerge w:val="restart"/>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3.5. Creation of new evaluation mechanisms covering all levels of stages in education based on advanced international experience</w:t>
            </w: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3.5.1. Creation and application of external and internal quality monitoring and evaluation mechanisms at educational institutions</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Regularly from 2015</w:t>
            </w:r>
          </w:p>
          <w:p w:rsidR="00882992" w:rsidRPr="00143674" w:rsidRDefault="00882992" w:rsidP="005860F3">
            <w:pPr>
              <w:jc w:val="right"/>
              <w:rPr>
                <w:rFonts w:asciiTheme="minorHAnsi" w:eastAsia="Times New Roman" w:hAnsiTheme="minorHAnsi" w:cs="Arial"/>
                <w:lang w:val="en-GB"/>
              </w:rPr>
            </w:pP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3.5.2. Ensuring the compliance of the evaluation mechanisms at higher educa</w:t>
            </w:r>
            <w:r w:rsidR="008605B0">
              <w:rPr>
                <w:rFonts w:asciiTheme="minorHAnsi" w:eastAsia="Times New Roman" w:hAnsiTheme="minorHAnsi" w:cs="Arial"/>
                <w:lang w:val="en-GB"/>
              </w:rPr>
              <w:t>tion facilities with the Bologna</w:t>
            </w:r>
            <w:r w:rsidRPr="00143674">
              <w:rPr>
                <w:rFonts w:asciiTheme="minorHAnsi" w:eastAsia="Times New Roman" w:hAnsiTheme="minorHAnsi" w:cs="Arial"/>
                <w:lang w:val="en-GB"/>
              </w:rPr>
              <w:t xml:space="preserve"> process</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 xml:space="preserve">Regularly, beginning from 2016 </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3.5.3. Development of the students’ progress monitoring and evaluation system, including internal school evaluation mechanisms in general education</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Regularly from 2015</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State Commission for Students’ Admission</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3.5.4. Conduction of regular national evaluation researches in different subjects of secondary education</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Regularly from 2015</w:t>
            </w:r>
          </w:p>
          <w:p w:rsidR="00882992" w:rsidRPr="00143674" w:rsidRDefault="00882992" w:rsidP="005860F3">
            <w:pPr>
              <w:jc w:val="right"/>
              <w:rPr>
                <w:rFonts w:asciiTheme="minorHAnsi" w:eastAsia="Times New Roman" w:hAnsiTheme="minorHAnsi" w:cs="Arial"/>
                <w:lang w:val="en-GB"/>
              </w:rPr>
            </w:pP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82992" w:rsidRPr="00143674" w:rsidTr="005860F3">
        <w:trPr>
          <w:cantSplit/>
          <w:trHeight w:val="280"/>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3.5.5. Ensuring participation of pupils of the secondary educational facilities in international knowledge evaluation programs</w:t>
            </w:r>
          </w:p>
        </w:tc>
        <w:tc>
          <w:tcPr>
            <w:tcW w:w="3544"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Allocation of financial means</w:t>
            </w:r>
          </w:p>
        </w:tc>
        <w:tc>
          <w:tcPr>
            <w:tcW w:w="1842" w:type="dxa"/>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Regularly from 2016</w:t>
            </w:r>
          </w:p>
        </w:tc>
        <w:tc>
          <w:tcPr>
            <w:tcW w:w="2117" w:type="dxa"/>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82992" w:rsidRPr="00143674" w:rsidTr="005860F3">
        <w:trPr>
          <w:cantSplit/>
          <w:trHeight w:val="1032"/>
          <w:jc w:val="center"/>
        </w:trPr>
        <w:tc>
          <w:tcPr>
            <w:tcW w:w="3424" w:type="dxa"/>
            <w:vMerge/>
            <w:shd w:val="clear" w:color="auto" w:fill="FFFFFF"/>
          </w:tcPr>
          <w:p w:rsidR="00882992" w:rsidRPr="00143674" w:rsidRDefault="00882992" w:rsidP="005860F3">
            <w:pPr>
              <w:rPr>
                <w:rFonts w:asciiTheme="minorHAnsi" w:eastAsia="Times New Roman" w:hAnsiTheme="minorHAnsi" w:cs="Arial"/>
                <w:lang w:val="en-GB"/>
              </w:rPr>
            </w:pPr>
          </w:p>
        </w:tc>
        <w:tc>
          <w:tcPr>
            <w:tcW w:w="4820" w:type="dxa"/>
            <w:tcBorders>
              <w:top w:val="single" w:sz="4" w:space="0" w:color="auto"/>
            </w:tcBorders>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3.5.6. Preparing development projects based on the international evaluation outcomes in secondary education</w:t>
            </w:r>
          </w:p>
        </w:tc>
        <w:tc>
          <w:tcPr>
            <w:tcW w:w="3544" w:type="dxa"/>
            <w:tcBorders>
              <w:top w:val="single" w:sz="4" w:space="0" w:color="auto"/>
            </w:tcBorders>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Ensuring participation in international evaluation researches</w:t>
            </w:r>
          </w:p>
        </w:tc>
        <w:tc>
          <w:tcPr>
            <w:tcW w:w="1842" w:type="dxa"/>
            <w:tcBorders>
              <w:top w:val="single" w:sz="4" w:space="0" w:color="auto"/>
            </w:tcBorders>
            <w:shd w:val="clear" w:color="auto" w:fill="FFFFFF"/>
          </w:tcPr>
          <w:p w:rsidR="00882992" w:rsidRPr="00143674" w:rsidRDefault="00882992" w:rsidP="005860F3">
            <w:pPr>
              <w:jc w:val="right"/>
              <w:rPr>
                <w:rFonts w:asciiTheme="minorHAnsi" w:eastAsia="Times New Roman" w:hAnsiTheme="minorHAnsi" w:cs="Arial"/>
                <w:lang w:val="en-GB"/>
              </w:rPr>
            </w:pPr>
            <w:r w:rsidRPr="00143674">
              <w:rPr>
                <w:rFonts w:asciiTheme="minorHAnsi" w:eastAsia="Times New Roman" w:hAnsiTheme="minorHAnsi" w:cs="Arial"/>
                <w:lang w:val="en-GB"/>
              </w:rPr>
              <w:t>Regularly from 2016</w:t>
            </w:r>
          </w:p>
        </w:tc>
        <w:tc>
          <w:tcPr>
            <w:tcW w:w="2117" w:type="dxa"/>
            <w:tcBorders>
              <w:top w:val="single" w:sz="4" w:space="0" w:color="auto"/>
            </w:tcBorders>
            <w:shd w:val="clear" w:color="auto" w:fill="FFFFFF"/>
          </w:tcPr>
          <w:p w:rsidR="00882992" w:rsidRPr="00143674" w:rsidRDefault="00882992" w:rsidP="005860F3">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bl>
    <w:p w:rsidR="008605B0" w:rsidRDefault="008605B0"/>
    <w:tbl>
      <w:tblPr>
        <w:tblW w:w="15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424"/>
        <w:gridCol w:w="4820"/>
        <w:gridCol w:w="3544"/>
        <w:gridCol w:w="1842"/>
        <w:gridCol w:w="2117"/>
      </w:tblGrid>
      <w:tr w:rsidR="00882992" w:rsidRPr="00143674" w:rsidTr="00E71D9E">
        <w:trPr>
          <w:cantSplit/>
          <w:trHeight w:val="280"/>
          <w:tblHeader/>
          <w:jc w:val="center"/>
        </w:trPr>
        <w:tc>
          <w:tcPr>
            <w:tcW w:w="15747" w:type="dxa"/>
            <w:gridSpan w:val="5"/>
            <w:shd w:val="clear" w:color="auto" w:fill="FFFFFF"/>
            <w:vAlign w:val="center"/>
          </w:tcPr>
          <w:p w:rsidR="00882992" w:rsidRPr="008605B0" w:rsidRDefault="00882992" w:rsidP="008605B0">
            <w:pPr>
              <w:spacing w:before="120" w:after="120"/>
              <w:rPr>
                <w:rFonts w:asciiTheme="minorHAnsi" w:eastAsia="Times New Roman" w:hAnsiTheme="minorHAnsi" w:cs="Arial"/>
                <w:b/>
                <w:sz w:val="28"/>
                <w:lang w:val="en-GB"/>
              </w:rPr>
            </w:pPr>
            <w:r w:rsidRPr="008605B0">
              <w:rPr>
                <w:rFonts w:asciiTheme="minorHAnsi" w:eastAsia="Times New Roman" w:hAnsiTheme="minorHAnsi" w:cs="Arial"/>
                <w:b/>
                <w:sz w:val="28"/>
                <w:lang w:val="en-GB"/>
              </w:rPr>
              <w:t>4. Creation of modern education infrastructure that ensures lifelong learning</w:t>
            </w:r>
          </w:p>
        </w:tc>
      </w:tr>
      <w:tr w:rsidR="008605B0" w:rsidRPr="00143674" w:rsidTr="00E71D9E">
        <w:trPr>
          <w:cantSplit/>
          <w:trHeight w:val="280"/>
          <w:tblHeader/>
          <w:jc w:val="center"/>
        </w:trPr>
        <w:tc>
          <w:tcPr>
            <w:tcW w:w="3424" w:type="dxa"/>
            <w:tcBorders>
              <w:bottom w:val="double" w:sz="4" w:space="0" w:color="auto"/>
            </w:tcBorders>
            <w:shd w:val="clear" w:color="auto" w:fill="D9D9D9" w:themeFill="background1" w:themeFillShade="D9"/>
            <w:vAlign w:val="center"/>
          </w:tcPr>
          <w:p w:rsidR="008605B0" w:rsidRPr="00143674" w:rsidRDefault="008605B0" w:rsidP="009C120B">
            <w:pPr>
              <w:spacing w:before="60" w:after="60"/>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Strategic Targets</w:t>
            </w:r>
          </w:p>
        </w:tc>
        <w:tc>
          <w:tcPr>
            <w:tcW w:w="4820" w:type="dxa"/>
            <w:tcBorders>
              <w:bottom w:val="double" w:sz="4" w:space="0" w:color="auto"/>
            </w:tcBorders>
            <w:shd w:val="clear" w:color="auto" w:fill="D9D9D9" w:themeFill="background1" w:themeFillShade="D9"/>
            <w:vAlign w:val="center"/>
          </w:tcPr>
          <w:p w:rsidR="008605B0" w:rsidRPr="00143674" w:rsidRDefault="008605B0" w:rsidP="009C120B">
            <w:pPr>
              <w:spacing w:before="60" w:after="60"/>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Measures</w:t>
            </w:r>
          </w:p>
        </w:tc>
        <w:tc>
          <w:tcPr>
            <w:tcW w:w="3544" w:type="dxa"/>
            <w:tcBorders>
              <w:bottom w:val="double" w:sz="4" w:space="0" w:color="auto"/>
            </w:tcBorders>
            <w:shd w:val="clear" w:color="auto" w:fill="D9D9D9" w:themeFill="background1" w:themeFillShade="D9"/>
            <w:vAlign w:val="center"/>
          </w:tcPr>
          <w:p w:rsidR="008605B0" w:rsidRPr="00143674" w:rsidRDefault="008605B0" w:rsidP="009C120B">
            <w:pPr>
              <w:spacing w:before="60" w:after="60"/>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 xml:space="preserve">Necessary Principles for Implementation of the Measure </w:t>
            </w:r>
          </w:p>
        </w:tc>
        <w:tc>
          <w:tcPr>
            <w:tcW w:w="1842" w:type="dxa"/>
            <w:tcBorders>
              <w:bottom w:val="double" w:sz="4" w:space="0" w:color="auto"/>
            </w:tcBorders>
            <w:shd w:val="clear" w:color="auto" w:fill="D9D9D9" w:themeFill="background1" w:themeFillShade="D9"/>
            <w:vAlign w:val="center"/>
          </w:tcPr>
          <w:p w:rsidR="008605B0" w:rsidRPr="00143674" w:rsidRDefault="008605B0" w:rsidP="00E71D9E">
            <w:pPr>
              <w:spacing w:before="60" w:after="60"/>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Implementation Period (years)</w:t>
            </w:r>
          </w:p>
        </w:tc>
        <w:tc>
          <w:tcPr>
            <w:tcW w:w="2117" w:type="dxa"/>
            <w:tcBorders>
              <w:bottom w:val="double" w:sz="4" w:space="0" w:color="auto"/>
            </w:tcBorders>
            <w:shd w:val="clear" w:color="auto" w:fill="D9D9D9" w:themeFill="background1" w:themeFillShade="D9"/>
            <w:vAlign w:val="center"/>
          </w:tcPr>
          <w:p w:rsidR="008605B0" w:rsidRPr="00143674" w:rsidRDefault="008605B0" w:rsidP="009C120B">
            <w:pPr>
              <w:spacing w:before="60" w:after="60"/>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Implementers</w:t>
            </w:r>
          </w:p>
        </w:tc>
      </w:tr>
      <w:tr w:rsidR="008605B0" w:rsidRPr="00143674" w:rsidTr="00E71D9E">
        <w:trPr>
          <w:cantSplit/>
          <w:trHeight w:val="280"/>
          <w:jc w:val="center"/>
        </w:trPr>
        <w:tc>
          <w:tcPr>
            <w:tcW w:w="3424" w:type="dxa"/>
            <w:vMerge w:val="restart"/>
            <w:tcBorders>
              <w:top w:val="double" w:sz="4" w:space="0" w:color="auto"/>
            </w:tcBorders>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4.1.  Creation of infrastructure in line with the requirements of ICT-based teaching methodology requirements, providing each education facility with internet, and on the level of secondary education every schoolchild with PCs and tablets with downloaded e-textbooks</w:t>
            </w:r>
          </w:p>
        </w:tc>
        <w:tc>
          <w:tcPr>
            <w:tcW w:w="4820" w:type="dxa"/>
            <w:tcBorders>
              <w:top w:val="double" w:sz="4" w:space="0" w:color="auto"/>
            </w:tcBorders>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4.1.1. Creation of information and communication technologies infrastructure at all educational facilities in line with the education system information program</w:t>
            </w:r>
          </w:p>
        </w:tc>
        <w:tc>
          <w:tcPr>
            <w:tcW w:w="3544" w:type="dxa"/>
            <w:tcBorders>
              <w:top w:val="double" w:sz="4" w:space="0" w:color="auto"/>
            </w:tcBorders>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Allocation of financial means</w:t>
            </w:r>
          </w:p>
          <w:p w:rsidR="008605B0" w:rsidRPr="00143674" w:rsidRDefault="008605B0" w:rsidP="00E71D9E">
            <w:pPr>
              <w:rPr>
                <w:rFonts w:asciiTheme="minorHAnsi" w:eastAsia="Times New Roman" w:hAnsiTheme="minorHAnsi" w:cs="Arial"/>
                <w:lang w:val="en-GB"/>
              </w:rPr>
            </w:pPr>
          </w:p>
          <w:p w:rsidR="008605B0" w:rsidRPr="00143674" w:rsidRDefault="008605B0" w:rsidP="00E71D9E">
            <w:pPr>
              <w:rPr>
                <w:rFonts w:asciiTheme="minorHAnsi" w:eastAsia="Times New Roman" w:hAnsiTheme="minorHAnsi" w:cs="Arial"/>
                <w:lang w:val="en-GB"/>
              </w:rPr>
            </w:pPr>
          </w:p>
          <w:p w:rsidR="008605B0" w:rsidRPr="00143674" w:rsidRDefault="008605B0" w:rsidP="00E71D9E">
            <w:pPr>
              <w:rPr>
                <w:rFonts w:asciiTheme="minorHAnsi" w:eastAsia="Times New Roman" w:hAnsiTheme="minorHAnsi" w:cs="Arial"/>
                <w:lang w:val="en-GB"/>
              </w:rPr>
            </w:pPr>
          </w:p>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ab/>
            </w:r>
          </w:p>
        </w:tc>
        <w:tc>
          <w:tcPr>
            <w:tcW w:w="1842" w:type="dxa"/>
            <w:tcBorders>
              <w:top w:val="double" w:sz="4" w:space="0" w:color="auto"/>
            </w:tcBorders>
            <w:shd w:val="clear" w:color="auto" w:fill="FFFFFF"/>
          </w:tcPr>
          <w:p w:rsidR="008605B0" w:rsidRPr="00143674" w:rsidRDefault="008605B0"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2015–2020</w:t>
            </w:r>
          </w:p>
          <w:p w:rsidR="008605B0" w:rsidRPr="00143674" w:rsidRDefault="008605B0" w:rsidP="00E71D9E">
            <w:pPr>
              <w:jc w:val="right"/>
              <w:rPr>
                <w:rFonts w:asciiTheme="minorHAnsi" w:eastAsia="Times New Roman" w:hAnsiTheme="minorHAnsi" w:cs="Arial"/>
                <w:lang w:val="en-GB"/>
              </w:rPr>
            </w:pPr>
          </w:p>
        </w:tc>
        <w:tc>
          <w:tcPr>
            <w:tcW w:w="2117" w:type="dxa"/>
            <w:tcBorders>
              <w:top w:val="double" w:sz="4" w:space="0" w:color="auto"/>
            </w:tcBorders>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 Ministry of Communication and High Technologies</w:t>
            </w:r>
          </w:p>
        </w:tc>
      </w:tr>
      <w:tr w:rsidR="008605B0" w:rsidRPr="00143674" w:rsidTr="00E71D9E">
        <w:trPr>
          <w:cantSplit/>
          <w:trHeight w:val="280"/>
          <w:jc w:val="center"/>
        </w:trPr>
        <w:tc>
          <w:tcPr>
            <w:tcW w:w="3424" w:type="dxa"/>
            <w:vMerge/>
            <w:shd w:val="clear" w:color="auto" w:fill="FFFFFF"/>
          </w:tcPr>
          <w:p w:rsidR="008605B0" w:rsidRPr="00143674" w:rsidRDefault="008605B0" w:rsidP="00E71D9E">
            <w:pPr>
              <w:rPr>
                <w:rFonts w:asciiTheme="minorHAnsi" w:eastAsia="Times New Roman" w:hAnsiTheme="minorHAnsi" w:cs="Arial"/>
                <w:lang w:val="en-GB"/>
              </w:rPr>
            </w:pPr>
          </w:p>
        </w:tc>
        <w:tc>
          <w:tcPr>
            <w:tcW w:w="4820"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4.1.2. Providing internet to every education facility</w:t>
            </w:r>
          </w:p>
        </w:tc>
        <w:tc>
          <w:tcPr>
            <w:tcW w:w="3544"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Allocation of financial means</w:t>
            </w:r>
          </w:p>
        </w:tc>
        <w:tc>
          <w:tcPr>
            <w:tcW w:w="1842" w:type="dxa"/>
            <w:shd w:val="clear" w:color="auto" w:fill="FFFFFF"/>
          </w:tcPr>
          <w:p w:rsidR="008605B0" w:rsidRPr="00143674" w:rsidRDefault="008605B0"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2015–2020</w:t>
            </w:r>
          </w:p>
        </w:tc>
        <w:tc>
          <w:tcPr>
            <w:tcW w:w="2117"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Ministry of Education, Ministry of Communication and High Technologies </w:t>
            </w:r>
          </w:p>
        </w:tc>
      </w:tr>
      <w:tr w:rsidR="008605B0" w:rsidRPr="00143674" w:rsidTr="00E71D9E">
        <w:trPr>
          <w:cantSplit/>
          <w:trHeight w:val="280"/>
          <w:jc w:val="center"/>
        </w:trPr>
        <w:tc>
          <w:tcPr>
            <w:tcW w:w="3424" w:type="dxa"/>
            <w:vMerge/>
            <w:shd w:val="clear" w:color="auto" w:fill="FFFFFF"/>
          </w:tcPr>
          <w:p w:rsidR="008605B0" w:rsidRPr="00143674" w:rsidRDefault="008605B0" w:rsidP="00E71D9E">
            <w:pPr>
              <w:rPr>
                <w:rFonts w:asciiTheme="minorHAnsi" w:eastAsia="Times New Roman" w:hAnsiTheme="minorHAnsi" w:cs="Arial"/>
                <w:lang w:val="en-GB"/>
              </w:rPr>
            </w:pPr>
          </w:p>
        </w:tc>
        <w:tc>
          <w:tcPr>
            <w:tcW w:w="4820"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4.1.3. Providing every schoolchild on the level of secondary education with PCs and tablets with downloaded e-textbooks</w:t>
            </w:r>
          </w:p>
        </w:tc>
        <w:tc>
          <w:tcPr>
            <w:tcW w:w="3544"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Allocation of financial means</w:t>
            </w:r>
          </w:p>
        </w:tc>
        <w:tc>
          <w:tcPr>
            <w:tcW w:w="1842" w:type="dxa"/>
            <w:shd w:val="clear" w:color="auto" w:fill="FFFFFF"/>
          </w:tcPr>
          <w:p w:rsidR="008605B0" w:rsidRPr="00143674" w:rsidRDefault="008605B0"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2015–2020</w:t>
            </w:r>
          </w:p>
        </w:tc>
        <w:tc>
          <w:tcPr>
            <w:tcW w:w="2117"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 Ministry of Communication and High Technologies</w:t>
            </w:r>
          </w:p>
        </w:tc>
      </w:tr>
      <w:tr w:rsidR="008605B0" w:rsidRPr="00143674" w:rsidTr="00E71D9E">
        <w:trPr>
          <w:cantSplit/>
          <w:trHeight w:val="280"/>
          <w:jc w:val="center"/>
        </w:trPr>
        <w:tc>
          <w:tcPr>
            <w:tcW w:w="3424" w:type="dxa"/>
            <w:vMerge w:val="restart"/>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4.2. Rationalization of education facilities network</w:t>
            </w:r>
          </w:p>
          <w:p w:rsidR="008605B0" w:rsidRPr="00143674" w:rsidRDefault="008605B0" w:rsidP="00E71D9E">
            <w:pPr>
              <w:rPr>
                <w:rFonts w:asciiTheme="minorHAnsi" w:eastAsia="Times New Roman" w:hAnsiTheme="minorHAnsi" w:cs="Arial"/>
                <w:lang w:val="en-GB"/>
              </w:rPr>
            </w:pPr>
          </w:p>
          <w:p w:rsidR="008605B0" w:rsidRPr="00143674" w:rsidRDefault="008605B0" w:rsidP="00E71D9E">
            <w:pPr>
              <w:rPr>
                <w:rFonts w:asciiTheme="minorHAnsi" w:eastAsia="Times New Roman" w:hAnsiTheme="minorHAnsi" w:cs="Arial"/>
                <w:lang w:val="en-GB"/>
              </w:rPr>
            </w:pPr>
          </w:p>
          <w:p w:rsidR="008605B0" w:rsidRPr="00143674" w:rsidRDefault="008605B0" w:rsidP="00E71D9E">
            <w:pPr>
              <w:rPr>
                <w:rFonts w:asciiTheme="minorHAnsi" w:eastAsia="Times New Roman" w:hAnsiTheme="minorHAnsi" w:cs="Arial"/>
                <w:lang w:val="en-GB"/>
              </w:rPr>
            </w:pPr>
          </w:p>
          <w:p w:rsidR="008605B0" w:rsidRPr="00143674" w:rsidRDefault="008605B0" w:rsidP="00E71D9E">
            <w:pPr>
              <w:rPr>
                <w:rFonts w:asciiTheme="minorHAnsi" w:eastAsia="Times New Roman" w:hAnsiTheme="minorHAnsi" w:cs="Arial"/>
                <w:lang w:val="en-GB"/>
              </w:rPr>
            </w:pPr>
          </w:p>
          <w:p w:rsidR="008605B0" w:rsidRPr="00143674" w:rsidRDefault="008605B0" w:rsidP="00E71D9E">
            <w:pPr>
              <w:rPr>
                <w:rFonts w:asciiTheme="minorHAnsi" w:eastAsia="Times New Roman" w:hAnsiTheme="minorHAnsi" w:cs="Arial"/>
                <w:lang w:val="en-GB"/>
              </w:rPr>
            </w:pPr>
          </w:p>
          <w:p w:rsidR="008605B0" w:rsidRPr="00143674" w:rsidRDefault="008605B0" w:rsidP="00E71D9E">
            <w:pPr>
              <w:rPr>
                <w:rFonts w:asciiTheme="minorHAnsi" w:eastAsia="Times New Roman" w:hAnsiTheme="minorHAnsi" w:cs="Arial"/>
                <w:lang w:val="en-GB"/>
              </w:rPr>
            </w:pPr>
          </w:p>
          <w:p w:rsidR="008605B0" w:rsidRPr="00143674" w:rsidRDefault="008605B0" w:rsidP="00E71D9E">
            <w:pPr>
              <w:rPr>
                <w:rFonts w:asciiTheme="minorHAnsi" w:eastAsia="Times New Roman" w:hAnsiTheme="minorHAnsi" w:cs="Arial"/>
                <w:lang w:val="en-GB"/>
              </w:rPr>
            </w:pPr>
          </w:p>
        </w:tc>
        <w:tc>
          <w:tcPr>
            <w:tcW w:w="4820"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4.2.1. Working out draft state programs for rationalization of the education facilities network at every stage of education</w:t>
            </w:r>
          </w:p>
        </w:tc>
        <w:tc>
          <w:tcPr>
            <w:tcW w:w="3544"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605B0" w:rsidRPr="00143674" w:rsidRDefault="008605B0"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2016-2017</w:t>
            </w:r>
          </w:p>
        </w:tc>
        <w:tc>
          <w:tcPr>
            <w:tcW w:w="2117"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 Ministry of Economy and Industry</w:t>
            </w:r>
          </w:p>
        </w:tc>
      </w:tr>
      <w:tr w:rsidR="008605B0" w:rsidRPr="00143674" w:rsidTr="00E71D9E">
        <w:trPr>
          <w:cantSplit/>
          <w:trHeight w:val="280"/>
          <w:jc w:val="center"/>
        </w:trPr>
        <w:tc>
          <w:tcPr>
            <w:tcW w:w="3424" w:type="dxa"/>
            <w:vMerge/>
            <w:shd w:val="clear" w:color="auto" w:fill="FFFFFF"/>
          </w:tcPr>
          <w:p w:rsidR="008605B0" w:rsidRPr="00143674" w:rsidRDefault="008605B0" w:rsidP="00E71D9E">
            <w:pPr>
              <w:rPr>
                <w:rFonts w:asciiTheme="minorHAnsi" w:eastAsia="Times New Roman" w:hAnsiTheme="minorHAnsi" w:cs="Arial"/>
                <w:lang w:val="en-GB"/>
              </w:rPr>
            </w:pPr>
          </w:p>
        </w:tc>
        <w:tc>
          <w:tcPr>
            <w:tcW w:w="4820"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4.2.2. Submission for approval of state programs for rationalization of the education facilities network at every stage of education</w:t>
            </w:r>
          </w:p>
        </w:tc>
        <w:tc>
          <w:tcPr>
            <w:tcW w:w="3544"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605B0" w:rsidRPr="00143674" w:rsidRDefault="008605B0"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2017</w:t>
            </w:r>
          </w:p>
        </w:tc>
        <w:tc>
          <w:tcPr>
            <w:tcW w:w="2117"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Cabinet of ministers, Ministry of Education</w:t>
            </w:r>
          </w:p>
          <w:p w:rsidR="008605B0" w:rsidRPr="00143674" w:rsidRDefault="008605B0" w:rsidP="00E71D9E">
            <w:pPr>
              <w:rPr>
                <w:rFonts w:asciiTheme="minorHAnsi" w:eastAsia="Times New Roman" w:hAnsiTheme="minorHAnsi" w:cs="Arial"/>
                <w:lang w:val="en-GB"/>
              </w:rPr>
            </w:pPr>
          </w:p>
          <w:p w:rsidR="008605B0" w:rsidRPr="00143674" w:rsidRDefault="008605B0" w:rsidP="00E71D9E">
            <w:pPr>
              <w:rPr>
                <w:rFonts w:asciiTheme="minorHAnsi" w:eastAsia="Times New Roman" w:hAnsiTheme="minorHAnsi" w:cs="Arial"/>
                <w:lang w:val="en-GB"/>
              </w:rPr>
            </w:pPr>
          </w:p>
        </w:tc>
      </w:tr>
      <w:tr w:rsidR="008605B0" w:rsidRPr="00143674" w:rsidTr="00E71D9E">
        <w:trPr>
          <w:cantSplit/>
          <w:trHeight w:val="280"/>
          <w:jc w:val="center"/>
        </w:trPr>
        <w:tc>
          <w:tcPr>
            <w:tcW w:w="3424" w:type="dxa"/>
            <w:vMerge/>
            <w:tcBorders>
              <w:bottom w:val="single" w:sz="4" w:space="0" w:color="auto"/>
            </w:tcBorders>
            <w:shd w:val="clear" w:color="auto" w:fill="FFFFFF"/>
          </w:tcPr>
          <w:p w:rsidR="008605B0" w:rsidRPr="00143674" w:rsidRDefault="008605B0" w:rsidP="00E71D9E">
            <w:pPr>
              <w:rPr>
                <w:rFonts w:asciiTheme="minorHAnsi" w:eastAsia="Times New Roman" w:hAnsiTheme="minorHAnsi" w:cs="Arial"/>
                <w:lang w:val="en-GB"/>
              </w:rPr>
            </w:pPr>
          </w:p>
        </w:tc>
        <w:tc>
          <w:tcPr>
            <w:tcW w:w="4820"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4.2.3. Implementation of state programs for rationalization of the education facilities network at every stage of education</w:t>
            </w:r>
          </w:p>
        </w:tc>
        <w:tc>
          <w:tcPr>
            <w:tcW w:w="3544"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Approval of the state programs for rationalization of the education facilities network at every stage of education</w:t>
            </w:r>
          </w:p>
        </w:tc>
        <w:tc>
          <w:tcPr>
            <w:tcW w:w="1842" w:type="dxa"/>
            <w:shd w:val="clear" w:color="auto" w:fill="FFFFFF"/>
          </w:tcPr>
          <w:p w:rsidR="008605B0" w:rsidRPr="00143674" w:rsidRDefault="008605B0"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2018–2025</w:t>
            </w:r>
          </w:p>
        </w:tc>
        <w:tc>
          <w:tcPr>
            <w:tcW w:w="2117"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 Ministry of Economy and Industry</w:t>
            </w:r>
          </w:p>
        </w:tc>
      </w:tr>
      <w:tr w:rsidR="008605B0" w:rsidRPr="00143674" w:rsidTr="00E71D9E">
        <w:trPr>
          <w:cantSplit/>
          <w:trHeight w:val="280"/>
          <w:jc w:val="center"/>
        </w:trPr>
        <w:tc>
          <w:tcPr>
            <w:tcW w:w="3424" w:type="dxa"/>
            <w:vMerge w:val="restart"/>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4.3. Establishing universal regional centres offering consultation services on distant learning, education of talented people, education and development of children with limited health abilities, </w:t>
            </w:r>
            <w:r w:rsidRPr="00143674">
              <w:rPr>
                <w:rFonts w:asciiTheme="minorHAnsi" w:eastAsia="Times New Roman" w:hAnsiTheme="minorHAnsi" w:cs="Arial"/>
                <w:lang w:val="en-GB"/>
              </w:rPr>
              <w:lastRenderedPageBreak/>
              <w:t>education of elderly people, as well as vocational and education matters</w:t>
            </w:r>
          </w:p>
        </w:tc>
        <w:tc>
          <w:tcPr>
            <w:tcW w:w="4820"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lastRenderedPageBreak/>
              <w:t>4.3.1. Working out a draft state program on establishment of universal centres</w:t>
            </w:r>
            <w:r>
              <w:rPr>
                <w:rFonts w:asciiTheme="minorHAnsi" w:eastAsia="Times New Roman" w:hAnsiTheme="minorHAnsi" w:cs="Arial"/>
                <w:lang w:val="en-GB"/>
              </w:rPr>
              <w:t xml:space="preserve"> in the regions</w:t>
            </w:r>
          </w:p>
        </w:tc>
        <w:tc>
          <w:tcPr>
            <w:tcW w:w="3544"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605B0" w:rsidRPr="00143674" w:rsidRDefault="008605B0"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2017-2018</w:t>
            </w:r>
          </w:p>
        </w:tc>
        <w:tc>
          <w:tcPr>
            <w:tcW w:w="2117"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 Ministry of Labour and Social Protection, Ministry of Economy and Industry</w:t>
            </w:r>
          </w:p>
        </w:tc>
      </w:tr>
      <w:tr w:rsidR="008605B0" w:rsidRPr="00143674" w:rsidTr="00E71D9E">
        <w:trPr>
          <w:cantSplit/>
          <w:trHeight w:val="280"/>
          <w:jc w:val="center"/>
        </w:trPr>
        <w:tc>
          <w:tcPr>
            <w:tcW w:w="3424" w:type="dxa"/>
            <w:vMerge/>
            <w:shd w:val="clear" w:color="auto" w:fill="FFFFFF"/>
          </w:tcPr>
          <w:p w:rsidR="008605B0" w:rsidRPr="00143674" w:rsidRDefault="008605B0" w:rsidP="00E71D9E">
            <w:pPr>
              <w:rPr>
                <w:rFonts w:asciiTheme="minorHAnsi" w:eastAsia="Times New Roman" w:hAnsiTheme="minorHAnsi" w:cs="Arial"/>
                <w:lang w:val="en-GB"/>
              </w:rPr>
            </w:pPr>
          </w:p>
        </w:tc>
        <w:tc>
          <w:tcPr>
            <w:tcW w:w="4820"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4.3.2. Submission for approval of the state program on establishment of universal centres in the regions</w:t>
            </w:r>
          </w:p>
        </w:tc>
        <w:tc>
          <w:tcPr>
            <w:tcW w:w="3544"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605B0" w:rsidRPr="00143674" w:rsidRDefault="008605B0"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2019</w:t>
            </w:r>
          </w:p>
        </w:tc>
        <w:tc>
          <w:tcPr>
            <w:tcW w:w="2117"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p>
        </w:tc>
      </w:tr>
      <w:tr w:rsidR="008605B0" w:rsidRPr="00143674" w:rsidTr="00E71D9E">
        <w:trPr>
          <w:cantSplit/>
          <w:trHeight w:val="280"/>
          <w:jc w:val="center"/>
        </w:trPr>
        <w:tc>
          <w:tcPr>
            <w:tcW w:w="3424" w:type="dxa"/>
            <w:vMerge/>
            <w:shd w:val="clear" w:color="auto" w:fill="FFFFFF"/>
          </w:tcPr>
          <w:p w:rsidR="008605B0" w:rsidRPr="00143674" w:rsidRDefault="008605B0" w:rsidP="00E71D9E">
            <w:pPr>
              <w:rPr>
                <w:rFonts w:asciiTheme="minorHAnsi" w:eastAsia="Times New Roman" w:hAnsiTheme="minorHAnsi" w:cs="Arial"/>
                <w:lang w:val="en-GB"/>
              </w:rPr>
            </w:pPr>
          </w:p>
        </w:tc>
        <w:tc>
          <w:tcPr>
            <w:tcW w:w="4820"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4.3.3. Implementation of the state program on establishment of universal centres in the regions</w:t>
            </w:r>
          </w:p>
        </w:tc>
        <w:tc>
          <w:tcPr>
            <w:tcW w:w="3544"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Approval of the state program on establishment of universal centres in the regions, allocation of financial means</w:t>
            </w:r>
          </w:p>
        </w:tc>
        <w:tc>
          <w:tcPr>
            <w:tcW w:w="1842" w:type="dxa"/>
            <w:shd w:val="clear" w:color="auto" w:fill="FFFFFF"/>
          </w:tcPr>
          <w:p w:rsidR="008605B0" w:rsidRPr="00143674" w:rsidRDefault="008605B0"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2019–2024</w:t>
            </w:r>
          </w:p>
        </w:tc>
        <w:tc>
          <w:tcPr>
            <w:tcW w:w="2117"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 Ministry of Economy and Industry</w:t>
            </w:r>
          </w:p>
        </w:tc>
      </w:tr>
      <w:tr w:rsidR="008605B0" w:rsidRPr="00143674" w:rsidTr="00E71D9E">
        <w:trPr>
          <w:cantSplit/>
          <w:trHeight w:val="280"/>
          <w:jc w:val="center"/>
        </w:trPr>
        <w:tc>
          <w:tcPr>
            <w:tcW w:w="3424" w:type="dxa"/>
            <w:vMerge w:val="restart"/>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4.4.  Establishing modern vocational training centres and complexes</w:t>
            </w:r>
          </w:p>
          <w:p w:rsidR="008605B0" w:rsidRPr="00143674" w:rsidRDefault="008605B0" w:rsidP="00E71D9E">
            <w:pPr>
              <w:rPr>
                <w:rFonts w:asciiTheme="minorHAnsi" w:eastAsia="Times New Roman" w:hAnsiTheme="minorHAnsi" w:cs="Arial"/>
                <w:lang w:val="en-GB"/>
              </w:rPr>
            </w:pPr>
          </w:p>
          <w:p w:rsidR="008605B0" w:rsidRPr="00143674" w:rsidRDefault="008605B0" w:rsidP="00E71D9E">
            <w:pPr>
              <w:rPr>
                <w:rFonts w:asciiTheme="minorHAnsi" w:eastAsia="Times New Roman" w:hAnsiTheme="minorHAnsi" w:cs="Arial"/>
                <w:lang w:val="en-GB"/>
              </w:rPr>
            </w:pPr>
          </w:p>
          <w:p w:rsidR="008605B0" w:rsidRPr="00143674" w:rsidRDefault="008605B0" w:rsidP="00E71D9E">
            <w:pPr>
              <w:rPr>
                <w:rFonts w:asciiTheme="minorHAnsi" w:eastAsia="Times New Roman" w:hAnsiTheme="minorHAnsi" w:cs="Arial"/>
                <w:lang w:val="en-GB"/>
              </w:rPr>
            </w:pPr>
          </w:p>
          <w:p w:rsidR="008605B0" w:rsidRPr="00143674" w:rsidRDefault="008605B0" w:rsidP="00E71D9E">
            <w:pPr>
              <w:rPr>
                <w:rFonts w:asciiTheme="minorHAnsi" w:eastAsia="Times New Roman" w:hAnsiTheme="minorHAnsi" w:cs="Arial"/>
                <w:lang w:val="en-GB"/>
              </w:rPr>
            </w:pPr>
          </w:p>
          <w:p w:rsidR="008605B0" w:rsidRPr="00143674" w:rsidRDefault="008605B0" w:rsidP="00E71D9E">
            <w:pPr>
              <w:rPr>
                <w:rFonts w:asciiTheme="minorHAnsi" w:eastAsia="Times New Roman" w:hAnsiTheme="minorHAnsi" w:cs="Arial"/>
                <w:lang w:val="en-GB"/>
              </w:rPr>
            </w:pPr>
          </w:p>
        </w:tc>
        <w:tc>
          <w:tcPr>
            <w:tcW w:w="4820"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4.4.1.  Working out draft state program on establishing vocational training centres and complexes</w:t>
            </w:r>
          </w:p>
        </w:tc>
        <w:tc>
          <w:tcPr>
            <w:tcW w:w="3544"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605B0" w:rsidRPr="00143674" w:rsidRDefault="008605B0"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2015–2016</w:t>
            </w:r>
          </w:p>
        </w:tc>
        <w:tc>
          <w:tcPr>
            <w:tcW w:w="2117"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 Ministry of Economy and Industry</w:t>
            </w:r>
          </w:p>
        </w:tc>
      </w:tr>
      <w:tr w:rsidR="008605B0" w:rsidRPr="00143674" w:rsidTr="00E71D9E">
        <w:trPr>
          <w:cantSplit/>
          <w:trHeight w:val="280"/>
          <w:jc w:val="center"/>
        </w:trPr>
        <w:tc>
          <w:tcPr>
            <w:tcW w:w="3424" w:type="dxa"/>
            <w:vMerge/>
            <w:shd w:val="clear" w:color="auto" w:fill="FFFFFF"/>
          </w:tcPr>
          <w:p w:rsidR="008605B0" w:rsidRPr="00143674" w:rsidRDefault="008605B0" w:rsidP="00E71D9E">
            <w:pPr>
              <w:rPr>
                <w:rFonts w:asciiTheme="minorHAnsi" w:eastAsia="Times New Roman" w:hAnsiTheme="minorHAnsi" w:cs="Arial"/>
                <w:lang w:val="en-GB"/>
              </w:rPr>
            </w:pPr>
          </w:p>
        </w:tc>
        <w:tc>
          <w:tcPr>
            <w:tcW w:w="4820"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4.4.2.  Submission for approval of the state program on establishing vocational training </w:t>
            </w:r>
            <w:r w:rsidR="00CF09A1" w:rsidRPr="00143674">
              <w:rPr>
                <w:rFonts w:asciiTheme="minorHAnsi" w:eastAsia="Times New Roman" w:hAnsiTheme="minorHAnsi" w:cs="Arial"/>
                <w:lang w:val="en-GB"/>
              </w:rPr>
              <w:t>centres</w:t>
            </w:r>
            <w:r w:rsidRPr="00143674">
              <w:rPr>
                <w:rFonts w:asciiTheme="minorHAnsi" w:eastAsia="Times New Roman" w:hAnsiTheme="minorHAnsi" w:cs="Arial"/>
                <w:lang w:val="en-GB"/>
              </w:rPr>
              <w:t xml:space="preserve"> and complexes</w:t>
            </w:r>
          </w:p>
          <w:p w:rsidR="008605B0" w:rsidRPr="00143674" w:rsidRDefault="008605B0" w:rsidP="00E71D9E">
            <w:pPr>
              <w:rPr>
                <w:rFonts w:asciiTheme="minorHAnsi" w:eastAsia="Times New Roman" w:hAnsiTheme="minorHAnsi" w:cs="Arial"/>
                <w:lang w:val="en-GB"/>
              </w:rPr>
            </w:pPr>
          </w:p>
        </w:tc>
        <w:tc>
          <w:tcPr>
            <w:tcW w:w="3544"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605B0" w:rsidRPr="00143674" w:rsidRDefault="008605B0"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2016</w:t>
            </w:r>
          </w:p>
        </w:tc>
        <w:tc>
          <w:tcPr>
            <w:tcW w:w="2117"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p>
        </w:tc>
      </w:tr>
      <w:tr w:rsidR="008605B0" w:rsidRPr="00143674" w:rsidTr="00E71D9E">
        <w:trPr>
          <w:cantSplit/>
          <w:trHeight w:val="280"/>
          <w:jc w:val="center"/>
        </w:trPr>
        <w:tc>
          <w:tcPr>
            <w:tcW w:w="3424" w:type="dxa"/>
            <w:vMerge/>
            <w:tcBorders>
              <w:bottom w:val="single" w:sz="4" w:space="0" w:color="auto"/>
            </w:tcBorders>
            <w:shd w:val="clear" w:color="auto" w:fill="FFFFFF"/>
          </w:tcPr>
          <w:p w:rsidR="008605B0" w:rsidRPr="00143674" w:rsidRDefault="008605B0" w:rsidP="00E71D9E">
            <w:pPr>
              <w:rPr>
                <w:rFonts w:asciiTheme="minorHAnsi" w:eastAsia="Times New Roman" w:hAnsiTheme="minorHAnsi" w:cs="Arial"/>
                <w:lang w:val="en-GB"/>
              </w:rPr>
            </w:pPr>
          </w:p>
        </w:tc>
        <w:tc>
          <w:tcPr>
            <w:tcW w:w="4820"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4.4.3.  Implementation of the state program on establishing vocational training </w:t>
            </w:r>
            <w:r w:rsidR="00CF09A1" w:rsidRPr="00143674">
              <w:rPr>
                <w:rFonts w:asciiTheme="minorHAnsi" w:eastAsia="Times New Roman" w:hAnsiTheme="minorHAnsi" w:cs="Arial"/>
                <w:lang w:val="en-GB"/>
              </w:rPr>
              <w:t>centres</w:t>
            </w:r>
            <w:r w:rsidRPr="00143674">
              <w:rPr>
                <w:rFonts w:asciiTheme="minorHAnsi" w:eastAsia="Times New Roman" w:hAnsiTheme="minorHAnsi" w:cs="Arial"/>
                <w:lang w:val="en-GB"/>
              </w:rPr>
              <w:t xml:space="preserve"> and complexes</w:t>
            </w:r>
          </w:p>
        </w:tc>
        <w:tc>
          <w:tcPr>
            <w:tcW w:w="3544"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Approval of the state program on establishing vocational training </w:t>
            </w:r>
            <w:r w:rsidR="00CF09A1">
              <w:rPr>
                <w:rFonts w:asciiTheme="minorHAnsi" w:eastAsia="Times New Roman" w:hAnsiTheme="minorHAnsi" w:cs="Arial"/>
                <w:lang w:val="en-GB"/>
              </w:rPr>
              <w:t>centres</w:t>
            </w:r>
            <w:r w:rsidRPr="00143674">
              <w:rPr>
                <w:rFonts w:asciiTheme="minorHAnsi" w:eastAsia="Times New Roman" w:hAnsiTheme="minorHAnsi" w:cs="Arial"/>
                <w:lang w:val="en-GB"/>
              </w:rPr>
              <w:t xml:space="preserve"> and complexes, allocation of financial means</w:t>
            </w:r>
          </w:p>
        </w:tc>
        <w:tc>
          <w:tcPr>
            <w:tcW w:w="1842" w:type="dxa"/>
            <w:shd w:val="clear" w:color="auto" w:fill="FFFFFF"/>
          </w:tcPr>
          <w:p w:rsidR="008605B0" w:rsidRPr="00143674" w:rsidRDefault="008605B0"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2016–2024</w:t>
            </w:r>
          </w:p>
        </w:tc>
        <w:tc>
          <w:tcPr>
            <w:tcW w:w="2117"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 Ministry of Economy and Industry</w:t>
            </w:r>
          </w:p>
        </w:tc>
      </w:tr>
      <w:tr w:rsidR="008605B0" w:rsidRPr="00143674" w:rsidTr="00E71D9E">
        <w:trPr>
          <w:cantSplit/>
          <w:trHeight w:val="280"/>
          <w:jc w:val="center"/>
        </w:trPr>
        <w:tc>
          <w:tcPr>
            <w:tcW w:w="3424" w:type="dxa"/>
            <w:vMerge w:val="restart"/>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4.5. Establishing preschool education facilities, working out mechanisms for stimulation of their activity</w:t>
            </w:r>
          </w:p>
        </w:tc>
        <w:tc>
          <w:tcPr>
            <w:tcW w:w="4820"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4.5.1.  Working out a draft state program on establishing preschool education facilities and stimulating of their activity</w:t>
            </w:r>
          </w:p>
        </w:tc>
        <w:tc>
          <w:tcPr>
            <w:tcW w:w="3544"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605B0" w:rsidRPr="00143674" w:rsidRDefault="008605B0"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2015–2016</w:t>
            </w:r>
          </w:p>
        </w:tc>
        <w:tc>
          <w:tcPr>
            <w:tcW w:w="2117"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 Ministry of Economy and Industry</w:t>
            </w:r>
          </w:p>
        </w:tc>
      </w:tr>
      <w:tr w:rsidR="008605B0" w:rsidRPr="00143674" w:rsidTr="00E71D9E">
        <w:trPr>
          <w:cantSplit/>
          <w:trHeight w:val="280"/>
          <w:jc w:val="center"/>
        </w:trPr>
        <w:tc>
          <w:tcPr>
            <w:tcW w:w="3424" w:type="dxa"/>
            <w:vMerge/>
            <w:shd w:val="clear" w:color="auto" w:fill="FFFFFF"/>
          </w:tcPr>
          <w:p w:rsidR="008605B0" w:rsidRPr="00143674" w:rsidRDefault="008605B0" w:rsidP="00E71D9E">
            <w:pPr>
              <w:rPr>
                <w:rFonts w:asciiTheme="minorHAnsi" w:eastAsia="Times New Roman" w:hAnsiTheme="minorHAnsi" w:cs="Arial"/>
                <w:lang w:val="en-GB"/>
              </w:rPr>
            </w:pPr>
          </w:p>
        </w:tc>
        <w:tc>
          <w:tcPr>
            <w:tcW w:w="4820"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4.5.2.  Submission for approval of the state program on establishing preschool education facilities and stimulating their activity</w:t>
            </w:r>
          </w:p>
        </w:tc>
        <w:tc>
          <w:tcPr>
            <w:tcW w:w="3544"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605B0" w:rsidRPr="00143674" w:rsidRDefault="008605B0" w:rsidP="00E71D9E">
            <w:pPr>
              <w:jc w:val="right"/>
              <w:rPr>
                <w:rFonts w:asciiTheme="minorHAnsi" w:eastAsia="Times New Roman" w:hAnsiTheme="minorHAnsi" w:cs="Arial"/>
                <w:lang w:val="en-GB"/>
              </w:rPr>
            </w:pPr>
          </w:p>
          <w:p w:rsidR="008605B0" w:rsidRPr="00143674" w:rsidRDefault="008605B0"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2016</w:t>
            </w:r>
          </w:p>
        </w:tc>
        <w:tc>
          <w:tcPr>
            <w:tcW w:w="2117"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Cabinet of Ministers </w:t>
            </w:r>
          </w:p>
        </w:tc>
      </w:tr>
      <w:tr w:rsidR="008605B0" w:rsidRPr="00143674" w:rsidTr="00E71D9E">
        <w:trPr>
          <w:cantSplit/>
          <w:trHeight w:val="280"/>
          <w:jc w:val="center"/>
        </w:trPr>
        <w:tc>
          <w:tcPr>
            <w:tcW w:w="3424" w:type="dxa"/>
            <w:vMerge/>
            <w:shd w:val="clear" w:color="auto" w:fill="FFFFFF"/>
          </w:tcPr>
          <w:p w:rsidR="008605B0" w:rsidRPr="00143674" w:rsidRDefault="008605B0" w:rsidP="00E71D9E">
            <w:pPr>
              <w:rPr>
                <w:rFonts w:asciiTheme="minorHAnsi" w:eastAsia="Times New Roman" w:hAnsiTheme="minorHAnsi" w:cs="Arial"/>
                <w:lang w:val="en-GB"/>
              </w:rPr>
            </w:pPr>
          </w:p>
        </w:tc>
        <w:tc>
          <w:tcPr>
            <w:tcW w:w="4820"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4.5.3. Implementation of the state program on establishing preschool education facilities and stimulating their activity</w:t>
            </w:r>
          </w:p>
        </w:tc>
        <w:tc>
          <w:tcPr>
            <w:tcW w:w="3544"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approval of the state program on establishing preschool education facilities and stimulating their activity, allocation of financial means</w:t>
            </w:r>
          </w:p>
        </w:tc>
        <w:tc>
          <w:tcPr>
            <w:tcW w:w="1842" w:type="dxa"/>
            <w:shd w:val="clear" w:color="auto" w:fill="FFFFFF"/>
          </w:tcPr>
          <w:p w:rsidR="008605B0" w:rsidRPr="00143674" w:rsidRDefault="008605B0"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2016–2024</w:t>
            </w:r>
          </w:p>
        </w:tc>
        <w:tc>
          <w:tcPr>
            <w:tcW w:w="2117"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 Baku city executive power, local executive bodies</w:t>
            </w:r>
          </w:p>
        </w:tc>
      </w:tr>
      <w:tr w:rsidR="008605B0" w:rsidRPr="00143674" w:rsidTr="00E71D9E">
        <w:trPr>
          <w:cantSplit/>
          <w:trHeight w:val="280"/>
          <w:jc w:val="center"/>
        </w:trPr>
        <w:tc>
          <w:tcPr>
            <w:tcW w:w="3424" w:type="dxa"/>
            <w:vMerge w:val="restart"/>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4.6. Establishing campuses </w:t>
            </w:r>
          </w:p>
        </w:tc>
        <w:tc>
          <w:tcPr>
            <w:tcW w:w="4820"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4.6.1. Working out a draft state program on establishing campuses for higher education facilities</w:t>
            </w:r>
          </w:p>
        </w:tc>
        <w:tc>
          <w:tcPr>
            <w:tcW w:w="3544"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605B0" w:rsidRPr="00143674" w:rsidRDefault="008605B0"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2015-2016</w:t>
            </w:r>
          </w:p>
        </w:tc>
        <w:tc>
          <w:tcPr>
            <w:tcW w:w="2117"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 Ministry of Economy and Industry</w:t>
            </w:r>
          </w:p>
        </w:tc>
      </w:tr>
      <w:tr w:rsidR="008605B0" w:rsidRPr="00143674" w:rsidTr="00E71D9E">
        <w:trPr>
          <w:cantSplit/>
          <w:trHeight w:val="280"/>
          <w:jc w:val="center"/>
        </w:trPr>
        <w:tc>
          <w:tcPr>
            <w:tcW w:w="3424" w:type="dxa"/>
            <w:vMerge/>
            <w:shd w:val="clear" w:color="auto" w:fill="FFFFFF"/>
          </w:tcPr>
          <w:p w:rsidR="008605B0" w:rsidRPr="00143674" w:rsidRDefault="008605B0" w:rsidP="00E71D9E">
            <w:pPr>
              <w:rPr>
                <w:rFonts w:asciiTheme="minorHAnsi" w:eastAsia="Times New Roman" w:hAnsiTheme="minorHAnsi" w:cs="Arial"/>
                <w:lang w:val="en-GB"/>
              </w:rPr>
            </w:pPr>
          </w:p>
        </w:tc>
        <w:tc>
          <w:tcPr>
            <w:tcW w:w="4820"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4.6.2.  Submission for approval of the state program on establishing campuses for higher education facilities</w:t>
            </w:r>
          </w:p>
        </w:tc>
        <w:tc>
          <w:tcPr>
            <w:tcW w:w="3544"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605B0" w:rsidRPr="00143674" w:rsidRDefault="008605B0"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2016</w:t>
            </w:r>
          </w:p>
        </w:tc>
        <w:tc>
          <w:tcPr>
            <w:tcW w:w="2117"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p>
        </w:tc>
      </w:tr>
      <w:tr w:rsidR="008605B0" w:rsidRPr="00143674" w:rsidTr="00E71D9E">
        <w:trPr>
          <w:cantSplit/>
          <w:trHeight w:val="280"/>
          <w:jc w:val="center"/>
        </w:trPr>
        <w:tc>
          <w:tcPr>
            <w:tcW w:w="3424" w:type="dxa"/>
            <w:vMerge/>
            <w:shd w:val="clear" w:color="auto" w:fill="FFFFFF"/>
          </w:tcPr>
          <w:p w:rsidR="008605B0" w:rsidRPr="00143674" w:rsidRDefault="008605B0" w:rsidP="00E71D9E">
            <w:pPr>
              <w:rPr>
                <w:rFonts w:asciiTheme="minorHAnsi" w:eastAsia="Times New Roman" w:hAnsiTheme="minorHAnsi" w:cs="Arial"/>
                <w:lang w:val="en-GB"/>
              </w:rPr>
            </w:pPr>
          </w:p>
        </w:tc>
        <w:tc>
          <w:tcPr>
            <w:tcW w:w="4820"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4.6.3.  Implementation of the state program on establishing campuses for higher education facilities</w:t>
            </w:r>
          </w:p>
        </w:tc>
        <w:tc>
          <w:tcPr>
            <w:tcW w:w="3544"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Approval of the state program on establishing campuses for higher education facilities, allocation of financial means</w:t>
            </w:r>
          </w:p>
        </w:tc>
        <w:tc>
          <w:tcPr>
            <w:tcW w:w="1842" w:type="dxa"/>
            <w:shd w:val="clear" w:color="auto" w:fill="FFFFFF"/>
          </w:tcPr>
          <w:p w:rsidR="008605B0" w:rsidRPr="00143674" w:rsidRDefault="008605B0"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2016–2024</w:t>
            </w:r>
          </w:p>
        </w:tc>
        <w:tc>
          <w:tcPr>
            <w:tcW w:w="2117"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605B0" w:rsidRPr="00143674" w:rsidTr="00E71D9E">
        <w:trPr>
          <w:cantSplit/>
          <w:trHeight w:val="280"/>
          <w:jc w:val="center"/>
        </w:trPr>
        <w:tc>
          <w:tcPr>
            <w:tcW w:w="3424" w:type="dxa"/>
            <w:tcBorders>
              <w:bottom w:val="single" w:sz="4" w:space="0" w:color="auto"/>
            </w:tcBorders>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lastRenderedPageBreak/>
              <w:t>4.7. Modernization of library activity for meeting the growing demand for lifelong education, expansion of the opportunities of using digital education resources</w:t>
            </w:r>
          </w:p>
        </w:tc>
        <w:tc>
          <w:tcPr>
            <w:tcW w:w="4820"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4.7.1. expansion of the e-library network</w:t>
            </w:r>
          </w:p>
        </w:tc>
        <w:tc>
          <w:tcPr>
            <w:tcW w:w="3544"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605B0" w:rsidRPr="00143674" w:rsidRDefault="008605B0"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2015–2020</w:t>
            </w:r>
          </w:p>
        </w:tc>
        <w:tc>
          <w:tcPr>
            <w:tcW w:w="2117" w:type="dxa"/>
            <w:shd w:val="clear" w:color="auto" w:fill="FFFFFF"/>
          </w:tcPr>
          <w:p w:rsidR="008605B0" w:rsidRPr="00143674" w:rsidRDefault="008605B0" w:rsidP="00E71D9E">
            <w:pPr>
              <w:rPr>
                <w:rFonts w:asciiTheme="minorHAnsi" w:eastAsia="Times New Roman" w:hAnsiTheme="minorHAnsi" w:cs="Arial"/>
                <w:lang w:val="en-GB"/>
              </w:rPr>
            </w:pPr>
            <w:r w:rsidRPr="00143674">
              <w:rPr>
                <w:rFonts w:asciiTheme="minorHAnsi" w:eastAsia="Times New Roman" w:hAnsiTheme="minorHAnsi" w:cs="Arial"/>
                <w:lang w:val="en-GB"/>
              </w:rPr>
              <w:t>Cabinet of Ministers, Ministry of Education, Ministry of Culture and Tourism</w:t>
            </w:r>
          </w:p>
        </w:tc>
      </w:tr>
      <w:tr w:rsidR="00CF09A1" w:rsidRPr="00143674" w:rsidTr="00E71D9E">
        <w:trPr>
          <w:cantSplit/>
          <w:trHeight w:val="280"/>
          <w:jc w:val="center"/>
        </w:trPr>
        <w:tc>
          <w:tcPr>
            <w:tcW w:w="3424" w:type="dxa"/>
            <w:vMerge w:val="restart"/>
            <w:shd w:val="clear" w:color="auto" w:fill="FFFFFF"/>
          </w:tcPr>
          <w:p w:rsidR="00CF09A1" w:rsidRPr="00143674" w:rsidRDefault="00CF09A1" w:rsidP="00E71D9E">
            <w:pPr>
              <w:rPr>
                <w:rFonts w:asciiTheme="minorHAnsi" w:eastAsia="Times New Roman" w:hAnsiTheme="minorHAnsi" w:cs="Arial"/>
                <w:lang w:val="en-GB"/>
              </w:rPr>
            </w:pPr>
            <w:r w:rsidRPr="00143674">
              <w:rPr>
                <w:rFonts w:asciiTheme="minorHAnsi" w:eastAsia="Times New Roman" w:hAnsiTheme="minorHAnsi" w:cs="Arial"/>
                <w:lang w:val="en-GB"/>
              </w:rPr>
              <w:t>4.8. Ensuring development of education-related media and internet resources</w:t>
            </w:r>
          </w:p>
        </w:tc>
        <w:tc>
          <w:tcPr>
            <w:tcW w:w="4820" w:type="dxa"/>
            <w:shd w:val="clear" w:color="auto" w:fill="FFFFFF"/>
          </w:tcPr>
          <w:p w:rsidR="00CF09A1" w:rsidRPr="00143674" w:rsidRDefault="00CF09A1" w:rsidP="00E71D9E">
            <w:pPr>
              <w:rPr>
                <w:rFonts w:asciiTheme="minorHAnsi" w:eastAsia="Times New Roman" w:hAnsiTheme="minorHAnsi" w:cs="Arial"/>
                <w:lang w:val="en-GB"/>
              </w:rPr>
            </w:pPr>
            <w:r w:rsidRPr="00143674">
              <w:rPr>
                <w:rFonts w:asciiTheme="minorHAnsi" w:eastAsia="Times New Roman" w:hAnsiTheme="minorHAnsi" w:cs="Arial"/>
                <w:lang w:val="en-GB"/>
              </w:rPr>
              <w:t>4.8.1. Creation of online ‘Education’ television for encouragement of intellectual activity of children and youth and ensuring deeper awareness of the role of education in social development</w:t>
            </w:r>
          </w:p>
        </w:tc>
        <w:tc>
          <w:tcPr>
            <w:tcW w:w="3544" w:type="dxa"/>
            <w:shd w:val="clear" w:color="auto" w:fill="FFFFFF"/>
          </w:tcPr>
          <w:p w:rsidR="00CF09A1" w:rsidRPr="00143674" w:rsidRDefault="00CF09A1" w:rsidP="00E71D9E">
            <w:pPr>
              <w:rPr>
                <w:rFonts w:asciiTheme="minorHAnsi" w:eastAsia="Times New Roman" w:hAnsiTheme="minorHAnsi" w:cs="Arial"/>
                <w:lang w:val="en-GB"/>
              </w:rPr>
            </w:pPr>
            <w:r w:rsidRPr="00143674">
              <w:rPr>
                <w:rFonts w:asciiTheme="minorHAnsi" w:eastAsia="Times New Roman" w:hAnsiTheme="minorHAnsi" w:cs="Arial"/>
                <w:lang w:val="en-GB"/>
              </w:rPr>
              <w:t>Allocation of financial means</w:t>
            </w:r>
          </w:p>
        </w:tc>
        <w:tc>
          <w:tcPr>
            <w:tcW w:w="1842" w:type="dxa"/>
            <w:shd w:val="clear" w:color="auto" w:fill="FFFFFF"/>
          </w:tcPr>
          <w:p w:rsidR="00CF09A1" w:rsidRPr="00143674" w:rsidRDefault="00CF09A1" w:rsidP="00E71D9E">
            <w:pPr>
              <w:rPr>
                <w:rFonts w:asciiTheme="minorHAnsi" w:eastAsia="Times New Roman" w:hAnsiTheme="minorHAnsi" w:cs="Arial"/>
                <w:lang w:val="en-GB"/>
              </w:rPr>
            </w:pPr>
            <w:r w:rsidRPr="00143674">
              <w:rPr>
                <w:rFonts w:asciiTheme="minorHAnsi" w:eastAsia="Times New Roman" w:hAnsiTheme="minorHAnsi" w:cs="Arial"/>
                <w:lang w:val="en-GB"/>
              </w:rPr>
              <w:t>2015-2016</w:t>
            </w:r>
          </w:p>
        </w:tc>
        <w:tc>
          <w:tcPr>
            <w:tcW w:w="2117" w:type="dxa"/>
            <w:shd w:val="clear" w:color="auto" w:fill="FFFFFF"/>
          </w:tcPr>
          <w:p w:rsidR="00CF09A1" w:rsidRPr="00143674" w:rsidRDefault="00CF09A1"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CF09A1" w:rsidRPr="00143674" w:rsidTr="00E71D9E">
        <w:trPr>
          <w:cantSplit/>
          <w:trHeight w:val="1691"/>
          <w:jc w:val="center"/>
        </w:trPr>
        <w:tc>
          <w:tcPr>
            <w:tcW w:w="3424" w:type="dxa"/>
            <w:vMerge/>
            <w:shd w:val="clear" w:color="auto" w:fill="FFFFFF"/>
          </w:tcPr>
          <w:p w:rsidR="00CF09A1" w:rsidRPr="00143674" w:rsidRDefault="00CF09A1" w:rsidP="00E71D9E">
            <w:pPr>
              <w:rPr>
                <w:rFonts w:asciiTheme="minorHAnsi" w:eastAsia="Times New Roman" w:hAnsiTheme="minorHAnsi" w:cs="Arial"/>
                <w:lang w:val="en-GB"/>
              </w:rPr>
            </w:pPr>
          </w:p>
        </w:tc>
        <w:tc>
          <w:tcPr>
            <w:tcW w:w="4820" w:type="dxa"/>
            <w:shd w:val="clear" w:color="auto" w:fill="FFFFFF"/>
          </w:tcPr>
          <w:p w:rsidR="00CF09A1" w:rsidRPr="00143674" w:rsidRDefault="00CF09A1" w:rsidP="00E71D9E">
            <w:pPr>
              <w:rPr>
                <w:rFonts w:asciiTheme="minorHAnsi" w:eastAsia="Times New Roman" w:hAnsiTheme="minorHAnsi" w:cs="Arial"/>
                <w:lang w:val="en-GB"/>
              </w:rPr>
            </w:pPr>
            <w:r w:rsidRPr="00143674">
              <w:rPr>
                <w:rFonts w:asciiTheme="minorHAnsi" w:eastAsia="Times New Roman" w:hAnsiTheme="minorHAnsi" w:cs="Arial"/>
                <w:lang w:val="en-GB"/>
              </w:rPr>
              <w:t>4.8.2. Creation of information portals for teachers, students and parents, working out online trainings, e-textbooks, video resources, in</w:t>
            </w:r>
            <w:r>
              <w:rPr>
                <w:rFonts w:asciiTheme="minorHAnsi" w:eastAsia="Times New Roman" w:hAnsiTheme="minorHAnsi" w:cs="Arial"/>
                <w:lang w:val="en-GB"/>
              </w:rPr>
              <w:t>ternet-based intellectual games</w:t>
            </w:r>
          </w:p>
        </w:tc>
        <w:tc>
          <w:tcPr>
            <w:tcW w:w="3544" w:type="dxa"/>
            <w:shd w:val="clear" w:color="auto" w:fill="FFFFFF"/>
          </w:tcPr>
          <w:p w:rsidR="00CF09A1" w:rsidRPr="00143674" w:rsidRDefault="00CF09A1" w:rsidP="00E71D9E">
            <w:pPr>
              <w:rPr>
                <w:rFonts w:asciiTheme="minorHAnsi" w:eastAsia="Times New Roman" w:hAnsiTheme="minorHAnsi" w:cs="Arial"/>
                <w:lang w:val="en-GB"/>
              </w:rPr>
            </w:pPr>
            <w:r w:rsidRPr="00143674">
              <w:rPr>
                <w:rFonts w:asciiTheme="minorHAnsi" w:eastAsia="Times New Roman" w:hAnsiTheme="minorHAnsi" w:cs="Arial"/>
                <w:lang w:val="en-GB"/>
              </w:rPr>
              <w:t>Allocation of financial means</w:t>
            </w:r>
          </w:p>
        </w:tc>
        <w:tc>
          <w:tcPr>
            <w:tcW w:w="1842" w:type="dxa"/>
            <w:shd w:val="clear" w:color="auto" w:fill="FFFFFF"/>
          </w:tcPr>
          <w:p w:rsidR="00CF09A1" w:rsidRPr="00143674" w:rsidRDefault="00CF09A1" w:rsidP="00E71D9E">
            <w:pPr>
              <w:rPr>
                <w:rFonts w:asciiTheme="minorHAnsi" w:eastAsia="Times New Roman" w:hAnsiTheme="minorHAnsi" w:cs="Arial"/>
                <w:lang w:val="en-GB"/>
              </w:rPr>
            </w:pPr>
            <w:r w:rsidRPr="00143674">
              <w:rPr>
                <w:rFonts w:asciiTheme="minorHAnsi" w:eastAsia="Times New Roman" w:hAnsiTheme="minorHAnsi" w:cs="Arial"/>
                <w:lang w:val="en-GB"/>
              </w:rPr>
              <w:t>Regularly from 2015</w:t>
            </w:r>
          </w:p>
        </w:tc>
        <w:tc>
          <w:tcPr>
            <w:tcW w:w="2117" w:type="dxa"/>
            <w:shd w:val="clear" w:color="auto" w:fill="FFFFFF"/>
          </w:tcPr>
          <w:p w:rsidR="00CF09A1" w:rsidRPr="00143674" w:rsidRDefault="00CF09A1"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CF09A1" w:rsidRPr="00143674" w:rsidTr="00E71D9E">
        <w:trPr>
          <w:cantSplit/>
          <w:trHeight w:val="1657"/>
          <w:jc w:val="center"/>
        </w:trPr>
        <w:tc>
          <w:tcPr>
            <w:tcW w:w="3424" w:type="dxa"/>
            <w:vMerge/>
            <w:shd w:val="clear" w:color="auto" w:fill="FFFFFF"/>
          </w:tcPr>
          <w:p w:rsidR="00CF09A1" w:rsidRPr="00143674" w:rsidRDefault="00CF09A1" w:rsidP="00E71D9E">
            <w:pPr>
              <w:rPr>
                <w:rFonts w:asciiTheme="minorHAnsi" w:eastAsia="Times New Roman" w:hAnsiTheme="minorHAnsi" w:cs="Arial"/>
                <w:lang w:val="en-GB"/>
              </w:rPr>
            </w:pPr>
          </w:p>
        </w:tc>
        <w:tc>
          <w:tcPr>
            <w:tcW w:w="4820" w:type="dxa"/>
            <w:shd w:val="clear" w:color="auto" w:fill="FFFFFF"/>
          </w:tcPr>
          <w:p w:rsidR="00CF09A1" w:rsidRPr="00143674" w:rsidRDefault="00CF09A1" w:rsidP="00E71D9E">
            <w:pPr>
              <w:rPr>
                <w:rFonts w:asciiTheme="minorHAnsi" w:eastAsia="Times New Roman" w:hAnsiTheme="minorHAnsi" w:cs="Arial"/>
                <w:lang w:val="en-GB"/>
              </w:rPr>
            </w:pPr>
            <w:r w:rsidRPr="00143674">
              <w:rPr>
                <w:rFonts w:asciiTheme="minorHAnsi" w:eastAsia="Times New Roman" w:hAnsiTheme="minorHAnsi" w:cs="Arial"/>
                <w:lang w:val="en-GB"/>
              </w:rPr>
              <w:t>4.8.3. Organization of trainings for media employees aimed at developing their skills and abilities in order to ensure the right understanding of the directions of education development, arrangement of contests on preparation of printed, online, audio and video materials in the sphere of education</w:t>
            </w:r>
          </w:p>
        </w:tc>
        <w:tc>
          <w:tcPr>
            <w:tcW w:w="3544" w:type="dxa"/>
            <w:shd w:val="clear" w:color="auto" w:fill="FFFFFF"/>
          </w:tcPr>
          <w:p w:rsidR="00CF09A1" w:rsidRPr="00143674" w:rsidRDefault="00CF09A1" w:rsidP="00E71D9E">
            <w:pPr>
              <w:rPr>
                <w:rFonts w:asciiTheme="minorHAnsi" w:eastAsia="Times New Roman" w:hAnsiTheme="minorHAnsi" w:cs="Arial"/>
                <w:lang w:val="en-GB"/>
              </w:rPr>
            </w:pPr>
            <w:r w:rsidRPr="00143674">
              <w:rPr>
                <w:rFonts w:asciiTheme="minorHAnsi" w:eastAsia="Times New Roman" w:hAnsiTheme="minorHAnsi" w:cs="Arial"/>
                <w:lang w:val="en-GB"/>
              </w:rPr>
              <w:t>Allocation of financial means</w:t>
            </w:r>
          </w:p>
        </w:tc>
        <w:tc>
          <w:tcPr>
            <w:tcW w:w="1842" w:type="dxa"/>
            <w:shd w:val="clear" w:color="auto" w:fill="FFFFFF"/>
          </w:tcPr>
          <w:p w:rsidR="00CF09A1" w:rsidRPr="00143674" w:rsidRDefault="00CF09A1" w:rsidP="00E71D9E">
            <w:pPr>
              <w:rPr>
                <w:rFonts w:asciiTheme="minorHAnsi" w:eastAsia="Times New Roman" w:hAnsiTheme="minorHAnsi" w:cs="Arial"/>
                <w:lang w:val="en-GB"/>
              </w:rPr>
            </w:pPr>
            <w:r w:rsidRPr="00143674">
              <w:rPr>
                <w:rFonts w:asciiTheme="minorHAnsi" w:eastAsia="Times New Roman" w:hAnsiTheme="minorHAnsi" w:cs="Arial"/>
                <w:lang w:val="en-GB"/>
              </w:rPr>
              <w:t>Regularly from 2015</w:t>
            </w:r>
          </w:p>
        </w:tc>
        <w:tc>
          <w:tcPr>
            <w:tcW w:w="2117" w:type="dxa"/>
            <w:shd w:val="clear" w:color="auto" w:fill="FFFFFF"/>
          </w:tcPr>
          <w:p w:rsidR="00CF09A1" w:rsidRPr="00143674" w:rsidRDefault="00CF09A1"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bl>
    <w:p w:rsidR="000601ED" w:rsidRPr="00143674" w:rsidRDefault="000601ED">
      <w:pPr>
        <w:rPr>
          <w:rFonts w:asciiTheme="minorHAnsi" w:hAnsiTheme="minorHAnsi"/>
          <w:lang w:val="en-GB"/>
        </w:rPr>
      </w:pPr>
      <w:r w:rsidRPr="00143674">
        <w:rPr>
          <w:rFonts w:asciiTheme="minorHAnsi" w:hAnsiTheme="minorHAnsi"/>
          <w:lang w:val="en-GB"/>
        </w:rPr>
        <w:br w:type="page"/>
      </w:r>
    </w:p>
    <w:tbl>
      <w:tblPr>
        <w:tblW w:w="15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446"/>
        <w:gridCol w:w="4820"/>
        <w:gridCol w:w="3544"/>
        <w:gridCol w:w="1842"/>
        <w:gridCol w:w="2139"/>
      </w:tblGrid>
      <w:tr w:rsidR="008D2566" w:rsidRPr="00143674" w:rsidTr="00E71D9E">
        <w:trPr>
          <w:cantSplit/>
          <w:trHeight w:val="280"/>
          <w:tblHeader/>
          <w:jc w:val="center"/>
        </w:trPr>
        <w:tc>
          <w:tcPr>
            <w:tcW w:w="15791" w:type="dxa"/>
            <w:gridSpan w:val="5"/>
            <w:shd w:val="clear" w:color="auto" w:fill="FFFFFF"/>
            <w:vAlign w:val="center"/>
          </w:tcPr>
          <w:p w:rsidR="008D2566" w:rsidRPr="00CF09A1" w:rsidRDefault="008D2566" w:rsidP="00CF09A1">
            <w:pPr>
              <w:spacing w:before="120" w:after="120"/>
              <w:jc w:val="center"/>
              <w:rPr>
                <w:rFonts w:asciiTheme="minorHAnsi" w:eastAsia="Times New Roman" w:hAnsiTheme="minorHAnsi" w:cs="Arial"/>
                <w:b/>
                <w:bCs/>
                <w:sz w:val="28"/>
                <w:lang w:val="en-GB"/>
              </w:rPr>
            </w:pPr>
            <w:r w:rsidRPr="00CF09A1">
              <w:rPr>
                <w:rFonts w:asciiTheme="minorHAnsi" w:eastAsia="Times New Roman" w:hAnsiTheme="minorHAnsi" w:cs="Arial"/>
                <w:b/>
                <w:bCs/>
                <w:sz w:val="28"/>
                <w:lang w:val="en-GB"/>
              </w:rPr>
              <w:lastRenderedPageBreak/>
              <w:t xml:space="preserve">5. </w:t>
            </w:r>
            <w:r w:rsidR="003A7315" w:rsidRPr="00CF09A1">
              <w:rPr>
                <w:rFonts w:asciiTheme="minorHAnsi" w:eastAsia="Times New Roman" w:hAnsiTheme="minorHAnsi" w:cs="Arial"/>
                <w:b/>
                <w:bCs/>
                <w:sz w:val="28"/>
                <w:lang w:val="en-GB"/>
              </w:rPr>
              <w:t xml:space="preserve">Create a new mechanism for sustainable and multi-sources funding of education </w:t>
            </w:r>
          </w:p>
        </w:tc>
      </w:tr>
      <w:tr w:rsidR="00CF09A1" w:rsidRPr="00143674" w:rsidTr="00E71D9E">
        <w:trPr>
          <w:cantSplit/>
          <w:trHeight w:val="280"/>
          <w:tblHeader/>
          <w:jc w:val="center"/>
        </w:trPr>
        <w:tc>
          <w:tcPr>
            <w:tcW w:w="3446" w:type="dxa"/>
            <w:tcBorders>
              <w:bottom w:val="double" w:sz="4" w:space="0" w:color="auto"/>
            </w:tcBorders>
            <w:shd w:val="clear" w:color="auto" w:fill="D9D9D9" w:themeFill="background1" w:themeFillShade="D9"/>
            <w:vAlign w:val="center"/>
          </w:tcPr>
          <w:p w:rsidR="00CF09A1" w:rsidRPr="00143674" w:rsidRDefault="00CF09A1" w:rsidP="009C120B">
            <w:pPr>
              <w:spacing w:before="60" w:after="60"/>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Strategic Targets</w:t>
            </w:r>
          </w:p>
        </w:tc>
        <w:tc>
          <w:tcPr>
            <w:tcW w:w="4820" w:type="dxa"/>
            <w:tcBorders>
              <w:bottom w:val="double" w:sz="4" w:space="0" w:color="auto"/>
            </w:tcBorders>
            <w:shd w:val="clear" w:color="auto" w:fill="D9D9D9" w:themeFill="background1" w:themeFillShade="D9"/>
            <w:vAlign w:val="center"/>
          </w:tcPr>
          <w:p w:rsidR="00CF09A1" w:rsidRPr="00143674" w:rsidRDefault="00CF09A1" w:rsidP="009C120B">
            <w:pPr>
              <w:spacing w:before="60" w:after="60"/>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Measures</w:t>
            </w:r>
          </w:p>
        </w:tc>
        <w:tc>
          <w:tcPr>
            <w:tcW w:w="3544" w:type="dxa"/>
            <w:tcBorders>
              <w:bottom w:val="double" w:sz="4" w:space="0" w:color="auto"/>
            </w:tcBorders>
            <w:shd w:val="clear" w:color="auto" w:fill="D9D9D9" w:themeFill="background1" w:themeFillShade="D9"/>
            <w:vAlign w:val="center"/>
          </w:tcPr>
          <w:p w:rsidR="00CF09A1" w:rsidRPr="00143674" w:rsidRDefault="00CF09A1" w:rsidP="009C120B">
            <w:pPr>
              <w:spacing w:before="60" w:after="60"/>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 xml:space="preserve">Necessary Principles for Implementation of the Measure </w:t>
            </w:r>
          </w:p>
        </w:tc>
        <w:tc>
          <w:tcPr>
            <w:tcW w:w="1842" w:type="dxa"/>
            <w:tcBorders>
              <w:bottom w:val="double" w:sz="4" w:space="0" w:color="auto"/>
            </w:tcBorders>
            <w:shd w:val="clear" w:color="auto" w:fill="D9D9D9" w:themeFill="background1" w:themeFillShade="D9"/>
            <w:vAlign w:val="center"/>
          </w:tcPr>
          <w:p w:rsidR="00CF09A1" w:rsidRPr="00143674" w:rsidRDefault="00CF09A1" w:rsidP="00E71D9E">
            <w:pPr>
              <w:spacing w:before="60" w:after="60"/>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Implementation Period (years)</w:t>
            </w:r>
          </w:p>
        </w:tc>
        <w:tc>
          <w:tcPr>
            <w:tcW w:w="2139" w:type="dxa"/>
            <w:tcBorders>
              <w:bottom w:val="double" w:sz="4" w:space="0" w:color="auto"/>
            </w:tcBorders>
            <w:shd w:val="clear" w:color="auto" w:fill="D9D9D9" w:themeFill="background1" w:themeFillShade="D9"/>
            <w:vAlign w:val="center"/>
          </w:tcPr>
          <w:p w:rsidR="00CF09A1" w:rsidRPr="00143674" w:rsidRDefault="00CF09A1" w:rsidP="009C120B">
            <w:pPr>
              <w:spacing w:before="60" w:after="60"/>
              <w:jc w:val="center"/>
              <w:rPr>
                <w:rFonts w:asciiTheme="minorHAnsi" w:eastAsia="Times New Roman" w:hAnsiTheme="minorHAnsi" w:cs="Arial"/>
                <w:b/>
                <w:bCs/>
                <w:lang w:val="en-GB"/>
              </w:rPr>
            </w:pPr>
            <w:r w:rsidRPr="00143674">
              <w:rPr>
                <w:rFonts w:asciiTheme="minorHAnsi" w:eastAsia="Times New Roman" w:hAnsiTheme="minorHAnsi" w:cs="Arial"/>
                <w:b/>
                <w:bCs/>
                <w:lang w:val="en-GB"/>
              </w:rPr>
              <w:t>Implementers</w:t>
            </w:r>
          </w:p>
        </w:tc>
      </w:tr>
      <w:tr w:rsidR="008D2566" w:rsidRPr="00143674" w:rsidTr="00E71D9E">
        <w:trPr>
          <w:cantSplit/>
          <w:trHeight w:val="283"/>
          <w:jc w:val="center"/>
        </w:trPr>
        <w:tc>
          <w:tcPr>
            <w:tcW w:w="3446" w:type="dxa"/>
            <w:vMerge w:val="restart"/>
            <w:tcBorders>
              <w:top w:val="double" w:sz="4" w:space="0" w:color="auto"/>
            </w:tcBorders>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 5.1. </w:t>
            </w:r>
            <w:r w:rsidR="00F05406" w:rsidRPr="00143674">
              <w:rPr>
                <w:rFonts w:asciiTheme="minorHAnsi" w:eastAsia="Times New Roman" w:hAnsiTheme="minorHAnsi" w:cs="Arial"/>
                <w:lang w:val="en-GB"/>
              </w:rPr>
              <w:t xml:space="preserve">Involve </w:t>
            </w:r>
            <w:r w:rsidR="002015D7" w:rsidRPr="00143674">
              <w:rPr>
                <w:rFonts w:asciiTheme="minorHAnsi" w:eastAsia="Times New Roman" w:hAnsiTheme="minorHAnsi" w:cs="Arial"/>
                <w:lang w:val="en-GB"/>
              </w:rPr>
              <w:t>a</w:t>
            </w:r>
            <w:r w:rsidR="00F05406" w:rsidRPr="00143674">
              <w:rPr>
                <w:rFonts w:asciiTheme="minorHAnsi" w:eastAsia="Times New Roman" w:hAnsiTheme="minorHAnsi" w:cs="Arial"/>
                <w:lang w:val="en-GB"/>
              </w:rPr>
              <w:t xml:space="preserve">dequate </w:t>
            </w:r>
            <w:r w:rsidR="002015D7" w:rsidRPr="00143674">
              <w:rPr>
                <w:rFonts w:asciiTheme="minorHAnsi" w:eastAsia="Times New Roman" w:hAnsiTheme="minorHAnsi" w:cs="Arial"/>
                <w:lang w:val="en-GB"/>
              </w:rPr>
              <w:t xml:space="preserve">amount </w:t>
            </w:r>
            <w:r w:rsidR="00F05406" w:rsidRPr="00143674">
              <w:rPr>
                <w:rFonts w:asciiTheme="minorHAnsi" w:eastAsia="Times New Roman" w:hAnsiTheme="minorHAnsi" w:cs="Arial"/>
                <w:lang w:val="en-GB"/>
              </w:rPr>
              <w:t xml:space="preserve">financial resources in education, </w:t>
            </w:r>
            <w:r w:rsidR="002015D7" w:rsidRPr="00143674">
              <w:rPr>
                <w:rFonts w:asciiTheme="minorHAnsi" w:eastAsia="Times New Roman" w:hAnsiTheme="minorHAnsi" w:cs="Arial"/>
                <w:lang w:val="en-GB"/>
              </w:rPr>
              <w:t>achieve 5-6 per cent increase of the ratio of educational expenses to  gross domestic product in stages</w:t>
            </w:r>
            <w:r w:rsidR="00F05406" w:rsidRPr="00143674">
              <w:rPr>
                <w:rFonts w:asciiTheme="minorHAnsi" w:eastAsia="Times New Roman" w:hAnsiTheme="minorHAnsi" w:cs="Arial"/>
                <w:lang w:val="en-GB"/>
              </w:rPr>
              <w:t>, results-oriented budgeting and financing mechanisms in different source</w:t>
            </w:r>
            <w:r w:rsidR="002015D7" w:rsidRPr="00143674">
              <w:rPr>
                <w:rFonts w:asciiTheme="minorHAnsi" w:eastAsia="Times New Roman" w:hAnsiTheme="minorHAnsi" w:cs="Arial"/>
                <w:lang w:val="en-GB"/>
              </w:rPr>
              <w:t>s</w:t>
            </w:r>
          </w:p>
        </w:tc>
        <w:tc>
          <w:tcPr>
            <w:tcW w:w="4820" w:type="dxa"/>
            <w:tcBorders>
              <w:top w:val="double" w:sz="4" w:space="0" w:color="auto"/>
            </w:tcBorders>
            <w:shd w:val="clear" w:color="auto" w:fill="FFFFFF"/>
          </w:tcPr>
          <w:p w:rsidR="008D2566" w:rsidRPr="00143674" w:rsidRDefault="00BC42B4"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 5.1.1. </w:t>
            </w:r>
            <w:r w:rsidR="00127152" w:rsidRPr="00143674">
              <w:rPr>
                <w:rFonts w:asciiTheme="minorHAnsi" w:eastAsia="Times New Roman" w:hAnsiTheme="minorHAnsi" w:cs="Arial"/>
                <w:lang w:val="en-GB"/>
              </w:rPr>
              <w:t>Imply the increase of the ratio of educational expenses to  gross domestic product in stages, in the medium-term forecasting</w:t>
            </w:r>
          </w:p>
        </w:tc>
        <w:tc>
          <w:tcPr>
            <w:tcW w:w="3544" w:type="dxa"/>
            <w:tcBorders>
              <w:top w:val="double" w:sz="4" w:space="0" w:color="auto"/>
            </w:tcBorders>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tcBorders>
              <w:top w:val="double" w:sz="4" w:space="0" w:color="auto"/>
            </w:tcBorders>
            <w:shd w:val="clear" w:color="auto" w:fill="FFFFFF"/>
          </w:tcPr>
          <w:p w:rsidR="008D2566" w:rsidRPr="00143674" w:rsidRDefault="00FB3D7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as of 2016</w:t>
            </w:r>
          </w:p>
        </w:tc>
        <w:tc>
          <w:tcPr>
            <w:tcW w:w="2139" w:type="dxa"/>
            <w:tcBorders>
              <w:top w:val="double" w:sz="4" w:space="0" w:color="auto"/>
            </w:tcBorders>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Education</w:t>
            </w:r>
          </w:p>
        </w:tc>
      </w:tr>
      <w:tr w:rsidR="008D2566" w:rsidRPr="00143674" w:rsidTr="00E71D9E">
        <w:trPr>
          <w:cantSplit/>
          <w:trHeight w:val="283"/>
          <w:jc w:val="center"/>
        </w:trPr>
        <w:tc>
          <w:tcPr>
            <w:tcW w:w="3446" w:type="dxa"/>
            <w:vMerge/>
            <w:shd w:val="clear" w:color="auto" w:fill="FFFFFF"/>
          </w:tcPr>
          <w:p w:rsidR="008D2566" w:rsidRPr="00143674" w:rsidRDefault="008D2566" w:rsidP="00E71D9E">
            <w:pPr>
              <w:rPr>
                <w:rFonts w:asciiTheme="minorHAnsi" w:eastAsia="Times New Roman" w:hAnsiTheme="minorHAnsi" w:cs="Arial"/>
                <w:lang w:val="en-GB"/>
              </w:rPr>
            </w:pPr>
          </w:p>
        </w:tc>
        <w:tc>
          <w:tcPr>
            <w:tcW w:w="4820" w:type="dxa"/>
            <w:shd w:val="clear" w:color="auto" w:fill="FFFFFF"/>
          </w:tcPr>
          <w:p w:rsidR="008D2566" w:rsidRPr="00143674" w:rsidRDefault="002357D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 5.1.2. </w:t>
            </w:r>
            <w:r w:rsidR="00E4039A" w:rsidRPr="00143674">
              <w:rPr>
                <w:rFonts w:asciiTheme="minorHAnsi" w:eastAsia="Times New Roman" w:hAnsiTheme="minorHAnsi" w:cs="Arial"/>
                <w:lang w:val="en-GB"/>
              </w:rPr>
              <w:t xml:space="preserve">Create mechanisms for result-oriented budget planning for state educational institutions, involvement from and use of non-budgetary funds sources </w:t>
            </w:r>
          </w:p>
        </w:tc>
        <w:tc>
          <w:tcPr>
            <w:tcW w:w="3544" w:type="dxa"/>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D2566" w:rsidRPr="00143674" w:rsidRDefault="008D256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w:t>
            </w:r>
            <w:r w:rsidR="00B37C3E" w:rsidRPr="00143674">
              <w:rPr>
                <w:rFonts w:asciiTheme="minorHAnsi" w:eastAsia="Times New Roman" w:hAnsiTheme="minorHAnsi" w:cs="Arial"/>
                <w:lang w:val="en-GB"/>
              </w:rPr>
              <w:t>5</w:t>
            </w:r>
            <w:r w:rsidR="00D41282" w:rsidRPr="00143674">
              <w:rPr>
                <w:rFonts w:asciiTheme="minorHAnsi" w:eastAsia="Times New Roman" w:hAnsiTheme="minorHAnsi" w:cs="Arial"/>
                <w:lang w:val="en-GB"/>
              </w:rPr>
              <w:t>–2017</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D2566" w:rsidRPr="00143674" w:rsidTr="00E71D9E">
        <w:trPr>
          <w:cantSplit/>
          <w:trHeight w:val="283"/>
          <w:jc w:val="center"/>
        </w:trPr>
        <w:tc>
          <w:tcPr>
            <w:tcW w:w="3446" w:type="dxa"/>
            <w:vMerge w:val="restart"/>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5.2. </w:t>
            </w:r>
            <w:r w:rsidR="005670C3" w:rsidRPr="00143674">
              <w:rPr>
                <w:rFonts w:asciiTheme="minorHAnsi" w:eastAsia="Times New Roman" w:hAnsiTheme="minorHAnsi" w:cs="Arial"/>
                <w:lang w:val="en-GB"/>
              </w:rPr>
              <w:t xml:space="preserve">Transform to the financing mechanism based on cost per student </w:t>
            </w:r>
            <w:r w:rsidR="00C56B9F" w:rsidRPr="00143674">
              <w:rPr>
                <w:rFonts w:asciiTheme="minorHAnsi" w:eastAsia="Times New Roman" w:hAnsiTheme="minorHAnsi" w:cs="Arial"/>
                <w:lang w:val="en-GB"/>
              </w:rPr>
              <w:t xml:space="preserve">in </w:t>
            </w:r>
            <w:r w:rsidR="005670C3" w:rsidRPr="00143674">
              <w:rPr>
                <w:rFonts w:asciiTheme="minorHAnsi" w:eastAsia="Times New Roman" w:hAnsiTheme="minorHAnsi" w:cs="Arial"/>
                <w:lang w:val="en-GB"/>
              </w:rPr>
              <w:t>educational institutions</w:t>
            </w:r>
          </w:p>
        </w:tc>
        <w:tc>
          <w:tcPr>
            <w:tcW w:w="4820" w:type="dxa"/>
            <w:shd w:val="clear" w:color="auto" w:fill="FFFFFF"/>
          </w:tcPr>
          <w:p w:rsidR="008D2566" w:rsidRPr="00143674" w:rsidRDefault="002357D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 5.2.1. </w:t>
            </w:r>
            <w:r w:rsidR="00C56B9F" w:rsidRPr="00143674">
              <w:rPr>
                <w:rFonts w:asciiTheme="minorHAnsi" w:eastAsia="Times New Roman" w:hAnsiTheme="minorHAnsi" w:cs="Arial"/>
                <w:lang w:val="en-GB"/>
              </w:rPr>
              <w:t xml:space="preserve">Create mechanism for financing in educational institutions based on cost per student </w:t>
            </w:r>
          </w:p>
        </w:tc>
        <w:tc>
          <w:tcPr>
            <w:tcW w:w="3544" w:type="dxa"/>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D2566" w:rsidRPr="00143674" w:rsidRDefault="000C68E4"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2016</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Economy and Industry</w:t>
            </w:r>
          </w:p>
        </w:tc>
      </w:tr>
      <w:tr w:rsidR="008D2566" w:rsidRPr="00143674" w:rsidTr="00E71D9E">
        <w:trPr>
          <w:cantSplit/>
          <w:trHeight w:val="283"/>
          <w:jc w:val="center"/>
        </w:trPr>
        <w:tc>
          <w:tcPr>
            <w:tcW w:w="3446" w:type="dxa"/>
            <w:vMerge/>
            <w:shd w:val="clear" w:color="auto" w:fill="FFFFFF"/>
          </w:tcPr>
          <w:p w:rsidR="008D2566" w:rsidRPr="00143674" w:rsidRDefault="008D2566" w:rsidP="00E71D9E">
            <w:pPr>
              <w:rPr>
                <w:rFonts w:asciiTheme="minorHAnsi" w:eastAsia="Times New Roman" w:hAnsiTheme="minorHAnsi" w:cs="Arial"/>
                <w:lang w:val="en-GB"/>
              </w:rPr>
            </w:pPr>
          </w:p>
        </w:tc>
        <w:tc>
          <w:tcPr>
            <w:tcW w:w="4820" w:type="dxa"/>
            <w:shd w:val="clear" w:color="auto" w:fill="FFFFFF"/>
          </w:tcPr>
          <w:p w:rsidR="008D2566" w:rsidRPr="00143674" w:rsidRDefault="002357D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 5.2.2. </w:t>
            </w:r>
            <w:r w:rsidR="006A5BF7" w:rsidRPr="00143674">
              <w:rPr>
                <w:rFonts w:asciiTheme="minorHAnsi" w:eastAsia="Times New Roman" w:hAnsiTheme="minorHAnsi" w:cs="Arial"/>
                <w:lang w:val="en-GB"/>
              </w:rPr>
              <w:t>Approve the mechanism for financing in educational institutions based on cost per student</w:t>
            </w:r>
          </w:p>
        </w:tc>
        <w:tc>
          <w:tcPr>
            <w:tcW w:w="3544" w:type="dxa"/>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D2566" w:rsidRPr="00143674" w:rsidRDefault="000C68E4"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2016</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p>
        </w:tc>
      </w:tr>
      <w:tr w:rsidR="008D2566" w:rsidRPr="00143674" w:rsidTr="00E71D9E">
        <w:trPr>
          <w:cantSplit/>
          <w:trHeight w:val="283"/>
          <w:jc w:val="center"/>
        </w:trPr>
        <w:tc>
          <w:tcPr>
            <w:tcW w:w="3446" w:type="dxa"/>
            <w:vMerge/>
            <w:shd w:val="clear" w:color="auto" w:fill="FFFFFF"/>
          </w:tcPr>
          <w:p w:rsidR="008D2566" w:rsidRPr="00143674" w:rsidRDefault="008D2566" w:rsidP="00E71D9E">
            <w:pPr>
              <w:rPr>
                <w:rFonts w:asciiTheme="minorHAnsi" w:eastAsia="Times New Roman" w:hAnsiTheme="minorHAnsi" w:cs="Arial"/>
                <w:lang w:val="en-GB"/>
              </w:rPr>
            </w:pPr>
          </w:p>
        </w:tc>
        <w:tc>
          <w:tcPr>
            <w:tcW w:w="4820" w:type="dxa"/>
            <w:shd w:val="clear" w:color="auto" w:fill="FFFFFF"/>
          </w:tcPr>
          <w:p w:rsidR="008D2566" w:rsidRPr="00143674" w:rsidRDefault="002357D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 5.2.3. </w:t>
            </w:r>
            <w:r w:rsidR="003F109B" w:rsidRPr="00143674">
              <w:rPr>
                <w:rFonts w:asciiTheme="minorHAnsi" w:eastAsia="Times New Roman" w:hAnsiTheme="minorHAnsi" w:cs="Arial"/>
                <w:lang w:val="en-GB"/>
              </w:rPr>
              <w:t>Implement the mechanism for financing in educational institutions based on cost per student</w:t>
            </w:r>
          </w:p>
        </w:tc>
        <w:tc>
          <w:tcPr>
            <w:tcW w:w="3544" w:type="dxa"/>
            <w:shd w:val="clear" w:color="auto" w:fill="FFFFFF"/>
          </w:tcPr>
          <w:p w:rsidR="008D2566" w:rsidRPr="00143674" w:rsidRDefault="00117B4E" w:rsidP="00E71D9E">
            <w:pPr>
              <w:rPr>
                <w:rFonts w:asciiTheme="minorHAnsi" w:eastAsia="Times New Roman" w:hAnsiTheme="minorHAnsi" w:cs="Arial"/>
                <w:lang w:val="en-GB"/>
              </w:rPr>
            </w:pPr>
            <w:r w:rsidRPr="00143674">
              <w:rPr>
                <w:rFonts w:asciiTheme="minorHAnsi" w:eastAsia="Times New Roman" w:hAnsiTheme="minorHAnsi" w:cs="Arial"/>
                <w:lang w:val="en-GB"/>
              </w:rPr>
              <w:t>Approval of the mechanism for financing in educational institutions based on cost per student</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a</w:t>
            </w:r>
            <w:r w:rsidR="005645FE" w:rsidRPr="00143674">
              <w:rPr>
                <w:rFonts w:asciiTheme="minorHAnsi" w:eastAsia="Times New Roman" w:hAnsiTheme="minorHAnsi" w:cs="Arial"/>
                <w:lang w:val="en-GB"/>
              </w:rPr>
              <w:t>llocation of funds</w:t>
            </w:r>
          </w:p>
        </w:tc>
        <w:tc>
          <w:tcPr>
            <w:tcW w:w="1842" w:type="dxa"/>
            <w:shd w:val="clear" w:color="auto" w:fill="FFFFFF"/>
          </w:tcPr>
          <w:p w:rsidR="008D2566" w:rsidRPr="00143674" w:rsidRDefault="00FB3D7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as of 2017</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regular</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D2566" w:rsidRPr="00143674" w:rsidTr="00E71D9E">
        <w:trPr>
          <w:cantSplit/>
          <w:trHeight w:val="283"/>
          <w:jc w:val="center"/>
        </w:trPr>
        <w:tc>
          <w:tcPr>
            <w:tcW w:w="3446" w:type="dxa"/>
            <w:vMerge w:val="restart"/>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5.3. </w:t>
            </w:r>
            <w:r w:rsidR="00277514" w:rsidRPr="00143674">
              <w:rPr>
                <w:rFonts w:asciiTheme="minorHAnsi" w:eastAsia="Times New Roman" w:hAnsiTheme="minorHAnsi" w:cs="Arial"/>
                <w:lang w:val="en-GB"/>
              </w:rPr>
              <w:t xml:space="preserve">Promote the principles of self-financing in public and municipal educational institutions, support the </w:t>
            </w:r>
            <w:r w:rsidR="00277514" w:rsidRPr="00143674">
              <w:rPr>
                <w:rFonts w:asciiTheme="minorHAnsi" w:eastAsia="Times New Roman" w:hAnsiTheme="minorHAnsi" w:cs="Arial"/>
                <w:lang w:val="en-GB"/>
              </w:rPr>
              <w:lastRenderedPageBreak/>
              <w:t>provision of paid educational services</w:t>
            </w:r>
          </w:p>
        </w:tc>
        <w:tc>
          <w:tcPr>
            <w:tcW w:w="4820" w:type="dxa"/>
            <w:shd w:val="clear" w:color="auto" w:fill="FFFFFF"/>
          </w:tcPr>
          <w:p w:rsidR="008D2566" w:rsidRPr="00143674" w:rsidRDefault="00893B8E" w:rsidP="00E71D9E">
            <w:pPr>
              <w:rPr>
                <w:rFonts w:asciiTheme="minorHAnsi" w:eastAsia="Times New Roman" w:hAnsiTheme="minorHAnsi" w:cs="Arial"/>
                <w:lang w:val="en-GB"/>
              </w:rPr>
            </w:pPr>
            <w:r w:rsidRPr="00143674">
              <w:rPr>
                <w:rFonts w:asciiTheme="minorHAnsi" w:eastAsia="Times New Roman" w:hAnsiTheme="minorHAnsi" w:cs="Arial"/>
                <w:lang w:val="en-GB"/>
              </w:rPr>
              <w:lastRenderedPageBreak/>
              <w:t xml:space="preserve">5.3.1. </w:t>
            </w:r>
            <w:r w:rsidR="00805A5D" w:rsidRPr="00143674">
              <w:rPr>
                <w:rFonts w:asciiTheme="minorHAnsi" w:eastAsia="Times New Roman" w:hAnsiTheme="minorHAnsi" w:cs="Arial"/>
                <w:lang w:val="en-GB"/>
              </w:rPr>
              <w:t xml:space="preserve">Create mechanisms for arranging paid services in public and municipal educational institutions and independent use of funds generated from such services </w:t>
            </w:r>
          </w:p>
        </w:tc>
        <w:tc>
          <w:tcPr>
            <w:tcW w:w="3544" w:type="dxa"/>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D2566" w:rsidRPr="00143674" w:rsidRDefault="008D256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w:t>
            </w:r>
            <w:r w:rsidR="00B37C3E" w:rsidRPr="00143674">
              <w:rPr>
                <w:rFonts w:asciiTheme="minorHAnsi" w:eastAsia="Times New Roman" w:hAnsiTheme="minorHAnsi" w:cs="Arial"/>
                <w:lang w:val="en-GB"/>
              </w:rPr>
              <w:t>5-2016</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Economy and Industry</w:t>
            </w:r>
          </w:p>
        </w:tc>
      </w:tr>
      <w:tr w:rsidR="008D2566" w:rsidRPr="00143674" w:rsidTr="00E71D9E">
        <w:trPr>
          <w:cantSplit/>
          <w:trHeight w:val="283"/>
          <w:jc w:val="center"/>
        </w:trPr>
        <w:tc>
          <w:tcPr>
            <w:tcW w:w="3446" w:type="dxa"/>
            <w:vMerge/>
            <w:shd w:val="clear" w:color="auto" w:fill="FFFFFF"/>
          </w:tcPr>
          <w:p w:rsidR="008D2566" w:rsidRPr="00143674" w:rsidRDefault="008D2566" w:rsidP="00E71D9E">
            <w:pPr>
              <w:rPr>
                <w:rFonts w:asciiTheme="minorHAnsi" w:eastAsia="Times New Roman" w:hAnsiTheme="minorHAnsi" w:cs="Arial"/>
                <w:lang w:val="en-GB"/>
              </w:rPr>
            </w:pPr>
          </w:p>
        </w:tc>
        <w:tc>
          <w:tcPr>
            <w:tcW w:w="4820" w:type="dxa"/>
            <w:shd w:val="clear" w:color="auto" w:fill="FFFFFF"/>
          </w:tcPr>
          <w:p w:rsidR="008D2566" w:rsidRPr="00143674" w:rsidRDefault="00701912"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5.3.2. </w:t>
            </w:r>
            <w:r w:rsidR="000D4633" w:rsidRPr="00143674">
              <w:rPr>
                <w:rFonts w:asciiTheme="minorHAnsi" w:eastAsia="Times New Roman" w:hAnsiTheme="minorHAnsi" w:cs="Arial"/>
                <w:lang w:val="en-GB"/>
              </w:rPr>
              <w:t>Approve the mechanisms for arranging paid services in public and municipal educational institutions and independent use of funds generated from such services</w:t>
            </w:r>
          </w:p>
        </w:tc>
        <w:tc>
          <w:tcPr>
            <w:tcW w:w="3544" w:type="dxa"/>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D2566" w:rsidRPr="00143674" w:rsidRDefault="00FD73F1"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w:t>
            </w:r>
            <w:r w:rsidR="00B37C3E" w:rsidRPr="00143674">
              <w:rPr>
                <w:rFonts w:asciiTheme="minorHAnsi" w:eastAsia="Times New Roman" w:hAnsiTheme="minorHAnsi" w:cs="Arial"/>
                <w:lang w:val="en-GB"/>
              </w:rPr>
              <w:t>6</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p>
        </w:tc>
      </w:tr>
      <w:tr w:rsidR="008D2566" w:rsidRPr="00143674" w:rsidTr="00E71D9E">
        <w:trPr>
          <w:cantSplit/>
          <w:trHeight w:val="283"/>
          <w:jc w:val="center"/>
        </w:trPr>
        <w:tc>
          <w:tcPr>
            <w:tcW w:w="3446" w:type="dxa"/>
            <w:vMerge/>
            <w:shd w:val="clear" w:color="auto" w:fill="FFFFFF"/>
          </w:tcPr>
          <w:p w:rsidR="008D2566" w:rsidRPr="00143674" w:rsidRDefault="008D2566" w:rsidP="00E71D9E">
            <w:pPr>
              <w:rPr>
                <w:rFonts w:asciiTheme="minorHAnsi" w:eastAsia="Times New Roman" w:hAnsiTheme="minorHAnsi" w:cs="Arial"/>
                <w:lang w:val="en-GB"/>
              </w:rPr>
            </w:pPr>
          </w:p>
        </w:tc>
        <w:tc>
          <w:tcPr>
            <w:tcW w:w="4820" w:type="dxa"/>
            <w:shd w:val="clear" w:color="auto" w:fill="FFFFFF"/>
          </w:tcPr>
          <w:p w:rsidR="008D2566" w:rsidRPr="00143674" w:rsidRDefault="00701912"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5.3.3. </w:t>
            </w:r>
            <w:r w:rsidR="000D4633" w:rsidRPr="00143674">
              <w:rPr>
                <w:rFonts w:asciiTheme="minorHAnsi" w:eastAsia="Times New Roman" w:hAnsiTheme="minorHAnsi" w:cs="Arial"/>
                <w:lang w:val="en-GB"/>
              </w:rPr>
              <w:t>Implement the mechanisms for arranging paid services in public and municipal educational institutions and independent use of funds generated from such services</w:t>
            </w:r>
          </w:p>
        </w:tc>
        <w:tc>
          <w:tcPr>
            <w:tcW w:w="3544" w:type="dxa"/>
            <w:shd w:val="clear" w:color="auto" w:fill="FFFFFF"/>
          </w:tcPr>
          <w:p w:rsidR="008D2566" w:rsidRPr="00143674" w:rsidRDefault="000D4633" w:rsidP="00E71D9E">
            <w:pPr>
              <w:rPr>
                <w:rFonts w:asciiTheme="minorHAnsi" w:eastAsia="Times New Roman" w:hAnsiTheme="minorHAnsi" w:cs="Arial"/>
                <w:lang w:val="en-GB"/>
              </w:rPr>
            </w:pPr>
            <w:r w:rsidRPr="00143674">
              <w:rPr>
                <w:rFonts w:asciiTheme="minorHAnsi" w:eastAsia="Times New Roman" w:hAnsiTheme="minorHAnsi" w:cs="Arial"/>
                <w:lang w:val="en-GB"/>
              </w:rPr>
              <w:t>Approval of the mechanisms for arranging paid services in public and municipal educational institutions and independent use of funds generated from such services</w:t>
            </w:r>
          </w:p>
        </w:tc>
        <w:tc>
          <w:tcPr>
            <w:tcW w:w="1842" w:type="dxa"/>
            <w:shd w:val="clear" w:color="auto" w:fill="FFFFFF"/>
          </w:tcPr>
          <w:p w:rsidR="008D2566" w:rsidRPr="00143674" w:rsidRDefault="00FB3D7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as of 2016</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regular</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D2566" w:rsidRPr="00143674" w:rsidTr="00E71D9E">
        <w:trPr>
          <w:cantSplit/>
          <w:trHeight w:val="283"/>
          <w:jc w:val="center"/>
        </w:trPr>
        <w:tc>
          <w:tcPr>
            <w:tcW w:w="3446" w:type="dxa"/>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5.4. </w:t>
            </w:r>
            <w:r w:rsidR="003406AE" w:rsidRPr="00143674">
              <w:rPr>
                <w:rFonts w:asciiTheme="minorHAnsi" w:eastAsia="Times New Roman" w:hAnsiTheme="minorHAnsi" w:cs="Arial"/>
                <w:lang w:val="en-GB"/>
              </w:rPr>
              <w:t>Establish Development Fund for Education by means of extra-budgetary funds</w:t>
            </w:r>
          </w:p>
        </w:tc>
        <w:tc>
          <w:tcPr>
            <w:tcW w:w="4820" w:type="dxa"/>
            <w:shd w:val="clear" w:color="auto" w:fill="FFFFFF"/>
          </w:tcPr>
          <w:p w:rsidR="008D2566" w:rsidRPr="00143674" w:rsidRDefault="004F3B60"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5.4.1. </w:t>
            </w:r>
            <w:r w:rsidR="003406AE" w:rsidRPr="00143674">
              <w:rPr>
                <w:rFonts w:asciiTheme="minorHAnsi" w:eastAsia="Times New Roman" w:hAnsiTheme="minorHAnsi" w:cs="Arial"/>
                <w:lang w:val="en-GB"/>
              </w:rPr>
              <w:t>Submission of proposals for the establishment of the Development Fund for Education</w:t>
            </w:r>
          </w:p>
        </w:tc>
        <w:tc>
          <w:tcPr>
            <w:tcW w:w="3544" w:type="dxa"/>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D2566" w:rsidRPr="00143674" w:rsidRDefault="008D256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2015</w:t>
            </w:r>
            <w:r w:rsidR="00EE6295" w:rsidRPr="00143674">
              <w:rPr>
                <w:rFonts w:asciiTheme="minorHAnsi" w:eastAsia="Times New Roman" w:hAnsiTheme="minorHAnsi" w:cs="Arial"/>
                <w:lang w:val="en-GB"/>
              </w:rPr>
              <w:t>–2016</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Education</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Justice</w:t>
            </w:r>
          </w:p>
        </w:tc>
      </w:tr>
      <w:tr w:rsidR="008D2566" w:rsidRPr="00143674" w:rsidTr="00E71D9E">
        <w:trPr>
          <w:cantSplit/>
          <w:trHeight w:val="283"/>
          <w:jc w:val="center"/>
        </w:trPr>
        <w:tc>
          <w:tcPr>
            <w:tcW w:w="3446" w:type="dxa"/>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5.5. </w:t>
            </w:r>
            <w:r w:rsidR="00EE05A4" w:rsidRPr="00143674">
              <w:rPr>
                <w:rFonts w:asciiTheme="minorHAnsi" w:eastAsia="Times New Roman" w:hAnsiTheme="minorHAnsi" w:cs="Arial"/>
                <w:lang w:val="en-GB"/>
              </w:rPr>
              <w:t>Introduce a new funding mechanism for research in the education system</w:t>
            </w:r>
          </w:p>
        </w:tc>
        <w:tc>
          <w:tcPr>
            <w:tcW w:w="4820" w:type="dxa"/>
            <w:shd w:val="clear" w:color="auto" w:fill="FFFFFF"/>
          </w:tcPr>
          <w:p w:rsidR="008D2566" w:rsidRPr="00143674" w:rsidRDefault="004F3B60"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5.5.1. </w:t>
            </w:r>
            <w:r w:rsidR="008D7988" w:rsidRPr="00143674">
              <w:rPr>
                <w:rFonts w:asciiTheme="minorHAnsi" w:eastAsia="Times New Roman" w:hAnsiTheme="minorHAnsi" w:cs="Arial"/>
                <w:lang w:val="en-GB"/>
              </w:rPr>
              <w:t xml:space="preserve">Develop and implement a mechanism for conducting research based on public order and grants </w:t>
            </w:r>
          </w:p>
        </w:tc>
        <w:tc>
          <w:tcPr>
            <w:tcW w:w="3544" w:type="dxa"/>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D2566" w:rsidRPr="00143674" w:rsidRDefault="00FB3D7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as of 2015</w:t>
            </w:r>
            <w:r w:rsidR="00B37C3E"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regular</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Economy and Industry</w:t>
            </w:r>
          </w:p>
        </w:tc>
      </w:tr>
      <w:tr w:rsidR="008D2566" w:rsidRPr="00143674" w:rsidTr="00E71D9E">
        <w:trPr>
          <w:cantSplit/>
          <w:trHeight w:val="283"/>
          <w:jc w:val="center"/>
        </w:trPr>
        <w:tc>
          <w:tcPr>
            <w:tcW w:w="3446" w:type="dxa"/>
            <w:vMerge w:val="restart"/>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5.6. </w:t>
            </w:r>
            <w:r w:rsidR="00317811" w:rsidRPr="00143674">
              <w:rPr>
                <w:rFonts w:asciiTheme="minorHAnsi" w:eastAsia="Times New Roman" w:hAnsiTheme="minorHAnsi" w:cs="Arial"/>
                <w:lang w:val="en-GB"/>
              </w:rPr>
              <w:t xml:space="preserve">Per capita financing of additional education by educators with involvement of relevant educational institutions, </w:t>
            </w:r>
            <w:r w:rsidR="00317811" w:rsidRPr="00143674">
              <w:rPr>
                <w:rFonts w:asciiTheme="minorHAnsi" w:eastAsia="Times New Roman" w:hAnsiTheme="minorHAnsi" w:cs="Arial"/>
                <w:lang w:val="en-GB"/>
              </w:rPr>
              <w:lastRenderedPageBreak/>
              <w:t xml:space="preserve">regardless of ownership  </w:t>
            </w:r>
          </w:p>
        </w:tc>
        <w:tc>
          <w:tcPr>
            <w:tcW w:w="4820" w:type="dxa"/>
            <w:shd w:val="clear" w:color="auto" w:fill="FFFFFF"/>
          </w:tcPr>
          <w:p w:rsidR="008D2566" w:rsidRPr="00143674" w:rsidRDefault="00266326" w:rsidP="00E71D9E">
            <w:pPr>
              <w:rPr>
                <w:rFonts w:asciiTheme="minorHAnsi" w:eastAsia="Times New Roman" w:hAnsiTheme="minorHAnsi" w:cs="Arial"/>
                <w:lang w:val="en-GB"/>
              </w:rPr>
            </w:pPr>
            <w:r w:rsidRPr="00143674">
              <w:rPr>
                <w:rFonts w:asciiTheme="minorHAnsi" w:eastAsia="Times New Roman" w:hAnsiTheme="minorHAnsi" w:cs="Arial"/>
                <w:lang w:val="en-GB"/>
              </w:rPr>
              <w:lastRenderedPageBreak/>
              <w:t xml:space="preserve">5.6.1. </w:t>
            </w:r>
            <w:r w:rsidR="00010B57" w:rsidRPr="00143674">
              <w:rPr>
                <w:rFonts w:asciiTheme="minorHAnsi" w:eastAsia="Times New Roman" w:hAnsiTheme="minorHAnsi" w:cs="Arial"/>
                <w:lang w:val="en-GB"/>
              </w:rPr>
              <w:t>Create mechanism for per capita financing of teachers professional trainings  based on the government order</w:t>
            </w:r>
          </w:p>
        </w:tc>
        <w:tc>
          <w:tcPr>
            <w:tcW w:w="3544" w:type="dxa"/>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D2566" w:rsidRPr="00143674" w:rsidRDefault="008D256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2015</w:t>
            </w:r>
            <w:r w:rsidR="00252E41" w:rsidRPr="00143674">
              <w:rPr>
                <w:rFonts w:asciiTheme="minorHAnsi" w:eastAsia="Times New Roman" w:hAnsiTheme="minorHAnsi" w:cs="Arial"/>
                <w:lang w:val="en-GB"/>
              </w:rPr>
              <w:t>-2016</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Economy and Industry</w:t>
            </w:r>
          </w:p>
        </w:tc>
      </w:tr>
      <w:tr w:rsidR="008D2566" w:rsidRPr="00143674" w:rsidTr="00E71D9E">
        <w:trPr>
          <w:cantSplit/>
          <w:trHeight w:val="283"/>
          <w:jc w:val="center"/>
        </w:trPr>
        <w:tc>
          <w:tcPr>
            <w:tcW w:w="3446" w:type="dxa"/>
            <w:vMerge/>
            <w:shd w:val="clear" w:color="auto" w:fill="FFFFFF"/>
          </w:tcPr>
          <w:p w:rsidR="008D2566" w:rsidRPr="00143674" w:rsidRDefault="008D2566" w:rsidP="00E71D9E">
            <w:pPr>
              <w:rPr>
                <w:rFonts w:asciiTheme="minorHAnsi" w:eastAsia="Times New Roman" w:hAnsiTheme="minorHAnsi" w:cs="Arial"/>
                <w:lang w:val="en-GB"/>
              </w:rPr>
            </w:pPr>
          </w:p>
        </w:tc>
        <w:tc>
          <w:tcPr>
            <w:tcW w:w="4820" w:type="dxa"/>
            <w:shd w:val="clear" w:color="auto" w:fill="FFFFFF"/>
          </w:tcPr>
          <w:p w:rsidR="008D2566" w:rsidRPr="00143674" w:rsidRDefault="00757FF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5.6.2. </w:t>
            </w:r>
            <w:r w:rsidR="009F4878" w:rsidRPr="00143674">
              <w:rPr>
                <w:rFonts w:asciiTheme="minorHAnsi" w:eastAsia="Times New Roman" w:hAnsiTheme="minorHAnsi" w:cs="Arial"/>
                <w:lang w:val="en-GB"/>
              </w:rPr>
              <w:t>Approve the mechanism for per capita financing of teachers professional trainings  based on the government order</w:t>
            </w:r>
          </w:p>
        </w:tc>
        <w:tc>
          <w:tcPr>
            <w:tcW w:w="3544" w:type="dxa"/>
            <w:shd w:val="clear" w:color="auto" w:fill="FFFFFF"/>
          </w:tcPr>
          <w:p w:rsidR="008D2566" w:rsidRPr="00143674" w:rsidRDefault="008D2566" w:rsidP="00E71D9E">
            <w:pPr>
              <w:rPr>
                <w:rFonts w:asciiTheme="minorHAnsi" w:eastAsia="Times New Roman" w:hAnsiTheme="minorHAnsi" w:cs="Arial"/>
                <w:lang w:val="en-GB"/>
              </w:rPr>
            </w:pPr>
          </w:p>
        </w:tc>
        <w:tc>
          <w:tcPr>
            <w:tcW w:w="1842" w:type="dxa"/>
            <w:shd w:val="clear" w:color="auto" w:fill="FFFFFF"/>
          </w:tcPr>
          <w:p w:rsidR="008D2566" w:rsidRPr="00143674" w:rsidRDefault="008D256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2016</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p>
        </w:tc>
      </w:tr>
      <w:tr w:rsidR="008D2566" w:rsidRPr="00143674" w:rsidTr="00E71D9E">
        <w:trPr>
          <w:cantSplit/>
          <w:trHeight w:val="283"/>
          <w:jc w:val="center"/>
        </w:trPr>
        <w:tc>
          <w:tcPr>
            <w:tcW w:w="3446" w:type="dxa"/>
            <w:vMerge/>
            <w:tcBorders>
              <w:bottom w:val="single" w:sz="4" w:space="0" w:color="auto"/>
            </w:tcBorders>
            <w:shd w:val="clear" w:color="auto" w:fill="FFFFFF"/>
          </w:tcPr>
          <w:p w:rsidR="008D2566" w:rsidRPr="00143674" w:rsidRDefault="008D2566" w:rsidP="00E71D9E">
            <w:pPr>
              <w:rPr>
                <w:rFonts w:asciiTheme="minorHAnsi" w:eastAsia="Times New Roman" w:hAnsiTheme="minorHAnsi" w:cs="Arial"/>
                <w:lang w:val="en-GB"/>
              </w:rPr>
            </w:pPr>
          </w:p>
        </w:tc>
        <w:tc>
          <w:tcPr>
            <w:tcW w:w="4820" w:type="dxa"/>
            <w:shd w:val="clear" w:color="auto" w:fill="FFFFFF"/>
          </w:tcPr>
          <w:p w:rsidR="008D2566" w:rsidRPr="00143674" w:rsidRDefault="00757FF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5.6.3. </w:t>
            </w:r>
            <w:r w:rsidR="009F4878" w:rsidRPr="00143674">
              <w:rPr>
                <w:rFonts w:asciiTheme="minorHAnsi" w:eastAsia="Times New Roman" w:hAnsiTheme="minorHAnsi" w:cs="Arial"/>
                <w:lang w:val="en-GB"/>
              </w:rPr>
              <w:t>Implement the mechanism for per capita financing of teachers professional trainings  based on the government order</w:t>
            </w:r>
          </w:p>
        </w:tc>
        <w:tc>
          <w:tcPr>
            <w:tcW w:w="3544" w:type="dxa"/>
            <w:shd w:val="clear" w:color="auto" w:fill="FFFFFF"/>
          </w:tcPr>
          <w:p w:rsidR="008D2566" w:rsidRPr="00143674" w:rsidRDefault="009F4878" w:rsidP="00E71D9E">
            <w:pPr>
              <w:rPr>
                <w:rFonts w:asciiTheme="minorHAnsi" w:eastAsia="Times New Roman" w:hAnsiTheme="minorHAnsi" w:cs="Arial"/>
                <w:lang w:val="en-GB"/>
              </w:rPr>
            </w:pPr>
            <w:r w:rsidRPr="00143674">
              <w:rPr>
                <w:rFonts w:asciiTheme="minorHAnsi" w:eastAsia="Times New Roman" w:hAnsiTheme="minorHAnsi" w:cs="Arial"/>
                <w:lang w:val="en-GB"/>
              </w:rPr>
              <w:t>Approval of the mechanism for per capita financing of teachers professional trainings  based on the government order</w:t>
            </w:r>
          </w:p>
        </w:tc>
        <w:tc>
          <w:tcPr>
            <w:tcW w:w="1842" w:type="dxa"/>
            <w:shd w:val="clear" w:color="auto" w:fill="FFFFFF"/>
          </w:tcPr>
          <w:p w:rsidR="008D2566" w:rsidRPr="00143674" w:rsidRDefault="00FB3D7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as of 2016</w:t>
            </w:r>
            <w:r w:rsidR="00C875F9"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regular</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Economy and Industry</w:t>
            </w:r>
          </w:p>
        </w:tc>
      </w:tr>
      <w:tr w:rsidR="008D2566" w:rsidRPr="00143674" w:rsidTr="00E71D9E">
        <w:trPr>
          <w:cantSplit/>
          <w:trHeight w:val="283"/>
          <w:jc w:val="center"/>
        </w:trPr>
        <w:tc>
          <w:tcPr>
            <w:tcW w:w="3446" w:type="dxa"/>
            <w:vMerge w:val="restart"/>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5.7. </w:t>
            </w:r>
            <w:r w:rsidR="00153513" w:rsidRPr="00143674">
              <w:rPr>
                <w:rFonts w:asciiTheme="minorHAnsi" w:eastAsia="Times New Roman" w:hAnsiTheme="minorHAnsi" w:cs="Arial"/>
                <w:lang w:val="en-GB"/>
              </w:rPr>
              <w:t xml:space="preserve">Establish investment </w:t>
            </w:r>
            <w:r w:rsidR="00F11CDA" w:rsidRPr="00143674">
              <w:rPr>
                <w:rFonts w:asciiTheme="minorHAnsi" w:eastAsia="Times New Roman" w:hAnsiTheme="minorHAnsi" w:cs="Arial"/>
                <w:lang w:val="en-GB"/>
              </w:rPr>
              <w:t>expenditures</w:t>
            </w:r>
            <w:r w:rsidR="00153513" w:rsidRPr="00143674">
              <w:rPr>
                <w:rFonts w:asciiTheme="minorHAnsi" w:eastAsia="Times New Roman" w:hAnsiTheme="minorHAnsi" w:cs="Arial"/>
                <w:lang w:val="en-GB"/>
              </w:rPr>
              <w:t xml:space="preserve"> system of educational institutions based on the quality indicators </w:t>
            </w:r>
          </w:p>
        </w:tc>
        <w:tc>
          <w:tcPr>
            <w:tcW w:w="4820" w:type="dxa"/>
            <w:shd w:val="clear" w:color="auto" w:fill="FFFFFF"/>
          </w:tcPr>
          <w:p w:rsidR="008D2566" w:rsidRPr="00143674" w:rsidRDefault="00DC4F83"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5.7.1. </w:t>
            </w:r>
            <w:r w:rsidR="00F11CDA" w:rsidRPr="00143674">
              <w:rPr>
                <w:rFonts w:asciiTheme="minorHAnsi" w:eastAsia="Times New Roman" w:hAnsiTheme="minorHAnsi" w:cs="Arial"/>
                <w:lang w:val="en-GB"/>
              </w:rPr>
              <w:t>Develop investment expenditures system of educational institutions based on the quality indicators</w:t>
            </w:r>
          </w:p>
        </w:tc>
        <w:tc>
          <w:tcPr>
            <w:tcW w:w="3544" w:type="dxa"/>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D2566" w:rsidRPr="00143674" w:rsidRDefault="008D256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2016</w:t>
            </w:r>
            <w:r w:rsidR="00C5059E" w:rsidRPr="00143674">
              <w:rPr>
                <w:rFonts w:asciiTheme="minorHAnsi" w:eastAsia="Times New Roman" w:hAnsiTheme="minorHAnsi" w:cs="Arial"/>
                <w:lang w:val="en-GB"/>
              </w:rPr>
              <w:t>–2017</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Economy and Industry</w:t>
            </w:r>
          </w:p>
        </w:tc>
      </w:tr>
      <w:tr w:rsidR="008D2566" w:rsidRPr="00143674" w:rsidTr="00E71D9E">
        <w:trPr>
          <w:cantSplit/>
          <w:trHeight w:val="283"/>
          <w:jc w:val="center"/>
        </w:trPr>
        <w:tc>
          <w:tcPr>
            <w:tcW w:w="3446" w:type="dxa"/>
            <w:vMerge/>
            <w:shd w:val="clear" w:color="auto" w:fill="FFFFFF"/>
          </w:tcPr>
          <w:p w:rsidR="008D2566" w:rsidRPr="00143674" w:rsidRDefault="008D2566" w:rsidP="00E71D9E">
            <w:pPr>
              <w:rPr>
                <w:rFonts w:asciiTheme="minorHAnsi" w:eastAsia="Times New Roman" w:hAnsiTheme="minorHAnsi" w:cs="Arial"/>
                <w:lang w:val="en-GB"/>
              </w:rPr>
            </w:pPr>
          </w:p>
        </w:tc>
        <w:tc>
          <w:tcPr>
            <w:tcW w:w="4820" w:type="dxa"/>
            <w:shd w:val="clear" w:color="auto" w:fill="FFFFFF"/>
          </w:tcPr>
          <w:p w:rsidR="008D2566" w:rsidRPr="00143674" w:rsidRDefault="00F54BCB"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5.7.2. </w:t>
            </w:r>
            <w:r w:rsidR="00B276C5" w:rsidRPr="00143674">
              <w:rPr>
                <w:rFonts w:asciiTheme="minorHAnsi" w:eastAsia="Times New Roman" w:hAnsiTheme="minorHAnsi" w:cs="Arial"/>
                <w:lang w:val="en-GB"/>
              </w:rPr>
              <w:t>Approve  the investment expenditures system of educational institutions based on the quality indicators</w:t>
            </w:r>
          </w:p>
        </w:tc>
        <w:tc>
          <w:tcPr>
            <w:tcW w:w="3544" w:type="dxa"/>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D2566" w:rsidRPr="00143674" w:rsidRDefault="008D256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2017</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p>
        </w:tc>
      </w:tr>
      <w:tr w:rsidR="008D2566" w:rsidRPr="00143674" w:rsidTr="00E71D9E">
        <w:trPr>
          <w:cantSplit/>
          <w:trHeight w:val="283"/>
          <w:jc w:val="center"/>
        </w:trPr>
        <w:tc>
          <w:tcPr>
            <w:tcW w:w="3446" w:type="dxa"/>
            <w:vMerge/>
            <w:shd w:val="clear" w:color="auto" w:fill="FFFFFF"/>
          </w:tcPr>
          <w:p w:rsidR="008D2566" w:rsidRPr="00143674" w:rsidRDefault="008D2566" w:rsidP="00E71D9E">
            <w:pPr>
              <w:rPr>
                <w:rFonts w:asciiTheme="minorHAnsi" w:eastAsia="Times New Roman" w:hAnsiTheme="minorHAnsi" w:cs="Arial"/>
                <w:lang w:val="en-GB"/>
              </w:rPr>
            </w:pPr>
          </w:p>
        </w:tc>
        <w:tc>
          <w:tcPr>
            <w:tcW w:w="4820" w:type="dxa"/>
            <w:shd w:val="clear" w:color="auto" w:fill="FFFFFF"/>
          </w:tcPr>
          <w:p w:rsidR="008D2566" w:rsidRPr="00143674" w:rsidRDefault="00F54BCB"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5.7.3. </w:t>
            </w:r>
            <w:r w:rsidR="00B276C5" w:rsidRPr="00143674">
              <w:rPr>
                <w:rFonts w:asciiTheme="minorHAnsi" w:eastAsia="Times New Roman" w:hAnsiTheme="minorHAnsi" w:cs="Arial"/>
                <w:lang w:val="en-GB"/>
              </w:rPr>
              <w:t>Implement the investment expenditures system of educational institutions based on the quality indicators</w:t>
            </w:r>
          </w:p>
        </w:tc>
        <w:tc>
          <w:tcPr>
            <w:tcW w:w="3544" w:type="dxa"/>
            <w:shd w:val="clear" w:color="auto" w:fill="FFFFFF"/>
          </w:tcPr>
          <w:p w:rsidR="008D2566" w:rsidRPr="00143674" w:rsidRDefault="00B276C5" w:rsidP="00E71D9E">
            <w:pPr>
              <w:rPr>
                <w:rFonts w:asciiTheme="minorHAnsi" w:eastAsia="Times New Roman" w:hAnsiTheme="minorHAnsi" w:cs="Arial"/>
                <w:lang w:val="en-GB"/>
              </w:rPr>
            </w:pPr>
            <w:r w:rsidRPr="00143674">
              <w:rPr>
                <w:rFonts w:asciiTheme="minorHAnsi" w:eastAsia="Times New Roman" w:hAnsiTheme="minorHAnsi" w:cs="Arial"/>
                <w:lang w:val="en-GB"/>
              </w:rPr>
              <w:t>Approval  of  the investment expenditures system of educational institutions based on the quality indicators</w:t>
            </w:r>
            <w:r w:rsidR="00252E41"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a</w:t>
            </w:r>
            <w:r w:rsidR="005645FE" w:rsidRPr="00143674">
              <w:rPr>
                <w:rFonts w:asciiTheme="minorHAnsi" w:eastAsia="Times New Roman" w:hAnsiTheme="minorHAnsi" w:cs="Arial"/>
                <w:lang w:val="en-GB"/>
              </w:rPr>
              <w:t>llocation of funds</w:t>
            </w:r>
          </w:p>
        </w:tc>
        <w:tc>
          <w:tcPr>
            <w:tcW w:w="1842" w:type="dxa"/>
            <w:shd w:val="clear" w:color="auto" w:fill="FFFFFF"/>
          </w:tcPr>
          <w:p w:rsidR="008D2566" w:rsidRPr="00143674" w:rsidRDefault="00FB3D7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as of 2017</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regular</w:t>
            </w:r>
            <w:r w:rsidR="008D2566" w:rsidRPr="00143674">
              <w:rPr>
                <w:rFonts w:asciiTheme="minorHAnsi" w:eastAsia="Times New Roman" w:hAnsiTheme="minorHAnsi" w:cs="Arial"/>
                <w:lang w:val="en-GB"/>
              </w:rPr>
              <w:t xml:space="preserve"> </w:t>
            </w:r>
          </w:p>
          <w:p w:rsidR="008D2566" w:rsidRPr="00143674" w:rsidRDefault="008D2566" w:rsidP="00E71D9E">
            <w:pPr>
              <w:jc w:val="right"/>
              <w:rPr>
                <w:rFonts w:asciiTheme="minorHAnsi" w:eastAsia="Times New Roman" w:hAnsiTheme="minorHAnsi" w:cs="Arial"/>
                <w:lang w:val="en-GB"/>
              </w:rPr>
            </w:pP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p>
        </w:tc>
      </w:tr>
      <w:tr w:rsidR="008D2566" w:rsidRPr="00143674" w:rsidTr="00E71D9E">
        <w:trPr>
          <w:cantSplit/>
          <w:trHeight w:val="283"/>
          <w:jc w:val="center"/>
        </w:trPr>
        <w:tc>
          <w:tcPr>
            <w:tcW w:w="3446" w:type="dxa"/>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5.8. </w:t>
            </w:r>
            <w:r w:rsidR="009C1C63" w:rsidRPr="00143674">
              <w:rPr>
                <w:rFonts w:asciiTheme="minorHAnsi" w:eastAsia="Times New Roman" w:hAnsiTheme="minorHAnsi" w:cs="Arial"/>
                <w:lang w:val="en-GB"/>
              </w:rPr>
              <w:t>Stimulate the creation of capital funds in h</w:t>
            </w:r>
            <w:r w:rsidR="00A4080F" w:rsidRPr="00143674">
              <w:rPr>
                <w:rFonts w:asciiTheme="minorHAnsi" w:eastAsia="Times New Roman" w:hAnsiTheme="minorHAnsi" w:cs="Arial"/>
                <w:lang w:val="en-GB"/>
              </w:rPr>
              <w:t xml:space="preserve">igher education institutions </w:t>
            </w:r>
            <w:r w:rsidR="009C1C63" w:rsidRPr="00143674">
              <w:rPr>
                <w:rFonts w:asciiTheme="minorHAnsi" w:eastAsia="Times New Roman" w:hAnsiTheme="minorHAnsi" w:cs="Arial"/>
                <w:lang w:val="en-GB"/>
              </w:rPr>
              <w:t xml:space="preserve">without the use of </w:t>
            </w:r>
            <w:r w:rsidR="00A4080F" w:rsidRPr="00143674">
              <w:rPr>
                <w:rFonts w:asciiTheme="minorHAnsi" w:eastAsia="Times New Roman" w:hAnsiTheme="minorHAnsi" w:cs="Arial"/>
                <w:lang w:val="en-GB"/>
              </w:rPr>
              <w:t xml:space="preserve">state budget </w:t>
            </w:r>
            <w:r w:rsidR="009C1C63" w:rsidRPr="00143674">
              <w:rPr>
                <w:rFonts w:asciiTheme="minorHAnsi" w:eastAsia="Times New Roman" w:hAnsiTheme="minorHAnsi" w:cs="Arial"/>
                <w:lang w:val="en-GB"/>
              </w:rPr>
              <w:t>funds</w:t>
            </w:r>
          </w:p>
        </w:tc>
        <w:tc>
          <w:tcPr>
            <w:tcW w:w="4820" w:type="dxa"/>
            <w:shd w:val="clear" w:color="auto" w:fill="FFFFFF"/>
          </w:tcPr>
          <w:p w:rsidR="008D2566" w:rsidRPr="00143674" w:rsidRDefault="00F54BCB"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5.8.1. </w:t>
            </w:r>
            <w:r w:rsidR="009C1C63" w:rsidRPr="00143674">
              <w:rPr>
                <w:rFonts w:asciiTheme="minorHAnsi" w:eastAsia="Times New Roman" w:hAnsiTheme="minorHAnsi" w:cs="Arial"/>
                <w:lang w:val="en-GB"/>
              </w:rPr>
              <w:t>Draft and approve a model Regulations of a targeted equity fund</w:t>
            </w:r>
          </w:p>
        </w:tc>
        <w:tc>
          <w:tcPr>
            <w:tcW w:w="3544" w:type="dxa"/>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D2566" w:rsidRPr="00143674" w:rsidRDefault="008D256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2016</w:t>
            </w:r>
            <w:r w:rsidR="00DD1AF5" w:rsidRPr="00143674">
              <w:rPr>
                <w:rFonts w:asciiTheme="minorHAnsi" w:eastAsia="Times New Roman" w:hAnsiTheme="minorHAnsi" w:cs="Arial"/>
                <w:lang w:val="en-GB"/>
              </w:rPr>
              <w:t>–2017</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Economy and Industry</w:t>
            </w:r>
          </w:p>
        </w:tc>
      </w:tr>
      <w:tr w:rsidR="008D2566" w:rsidRPr="00143674" w:rsidTr="00E71D9E">
        <w:trPr>
          <w:cantSplit/>
          <w:trHeight w:val="283"/>
          <w:jc w:val="center"/>
        </w:trPr>
        <w:tc>
          <w:tcPr>
            <w:tcW w:w="3446" w:type="dxa"/>
            <w:shd w:val="clear" w:color="auto" w:fill="FFFFFF"/>
          </w:tcPr>
          <w:p w:rsidR="00CE22D0"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5.9. </w:t>
            </w:r>
            <w:r w:rsidR="00CE22D0" w:rsidRPr="00143674">
              <w:rPr>
                <w:rFonts w:asciiTheme="minorHAnsi" w:eastAsia="Times New Roman" w:hAnsiTheme="minorHAnsi" w:cs="Arial"/>
                <w:lang w:val="en-GB"/>
              </w:rPr>
              <w:t xml:space="preserve">Establish financial support system to provide equal educational opportunities for children and youth from low-income families </w:t>
            </w:r>
          </w:p>
        </w:tc>
        <w:tc>
          <w:tcPr>
            <w:tcW w:w="4820" w:type="dxa"/>
            <w:shd w:val="clear" w:color="auto" w:fill="FFFFFF"/>
          </w:tcPr>
          <w:p w:rsidR="008D2566" w:rsidRPr="00143674" w:rsidRDefault="000E505C"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5.9.1. </w:t>
            </w:r>
            <w:r w:rsidR="00CE22D0" w:rsidRPr="00143674">
              <w:rPr>
                <w:rFonts w:asciiTheme="minorHAnsi" w:eastAsia="Times New Roman" w:hAnsiTheme="minorHAnsi" w:cs="Arial"/>
                <w:lang w:val="en-GB"/>
              </w:rPr>
              <w:t>Create and implement a financial support system in educational institutions to provide equal educational opportunities for children and youth from low-income families</w:t>
            </w:r>
          </w:p>
        </w:tc>
        <w:tc>
          <w:tcPr>
            <w:tcW w:w="3544" w:type="dxa"/>
            <w:shd w:val="clear" w:color="auto" w:fill="FFFFFF"/>
          </w:tcPr>
          <w:p w:rsidR="008D2566" w:rsidRPr="00143674" w:rsidRDefault="00CE22D0"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Imply financial support funds in the per capita financing mechanism of educational institutions to create equal educational opportunities for children and youth from low-income families </w:t>
            </w:r>
          </w:p>
        </w:tc>
        <w:tc>
          <w:tcPr>
            <w:tcW w:w="1842" w:type="dxa"/>
            <w:shd w:val="clear" w:color="auto" w:fill="FFFFFF"/>
          </w:tcPr>
          <w:p w:rsidR="008D2566" w:rsidRPr="00143674" w:rsidRDefault="00FB3D7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as of 2017</w:t>
            </w:r>
            <w:r w:rsidR="00D10205"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regular</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Education</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Economy and Industry</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Labour and Social Protection of Population</w:t>
            </w:r>
          </w:p>
        </w:tc>
      </w:tr>
      <w:tr w:rsidR="008D2566" w:rsidRPr="00143674" w:rsidTr="00E71D9E">
        <w:trPr>
          <w:cantSplit/>
          <w:trHeight w:val="283"/>
          <w:jc w:val="center"/>
        </w:trPr>
        <w:tc>
          <w:tcPr>
            <w:tcW w:w="3446" w:type="dxa"/>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5.10. </w:t>
            </w:r>
            <w:r w:rsidR="00BB796B" w:rsidRPr="00143674">
              <w:rPr>
                <w:rFonts w:asciiTheme="minorHAnsi" w:eastAsia="Times New Roman" w:hAnsiTheme="minorHAnsi" w:cs="Arial"/>
                <w:lang w:val="en-GB"/>
              </w:rPr>
              <w:t xml:space="preserve">To adequately assess the work of teachers, increase their annual salary </w:t>
            </w:r>
            <w:r w:rsidR="00F85EBC" w:rsidRPr="00143674">
              <w:rPr>
                <w:rFonts w:asciiTheme="minorHAnsi" w:eastAsia="Times New Roman" w:hAnsiTheme="minorHAnsi" w:cs="Arial"/>
                <w:lang w:val="en-GB"/>
              </w:rPr>
              <w:t xml:space="preserve">rate </w:t>
            </w:r>
            <w:r w:rsidR="00BB796B" w:rsidRPr="00143674">
              <w:rPr>
                <w:rFonts w:asciiTheme="minorHAnsi" w:eastAsia="Times New Roman" w:hAnsiTheme="minorHAnsi" w:cs="Arial"/>
                <w:lang w:val="en-GB"/>
              </w:rPr>
              <w:t xml:space="preserve">to per capita gross domestic product </w:t>
            </w:r>
            <w:r w:rsidR="00F85EBC" w:rsidRPr="00143674">
              <w:rPr>
                <w:rFonts w:asciiTheme="minorHAnsi" w:eastAsia="Times New Roman" w:hAnsiTheme="minorHAnsi" w:cs="Arial"/>
                <w:lang w:val="en-GB"/>
              </w:rPr>
              <w:t xml:space="preserve">1.8-2 times </w:t>
            </w:r>
            <w:r w:rsidR="00BB796B" w:rsidRPr="00143674">
              <w:rPr>
                <w:rFonts w:asciiTheme="minorHAnsi" w:eastAsia="Times New Roman" w:hAnsiTheme="minorHAnsi" w:cs="Arial"/>
                <w:lang w:val="en-GB"/>
              </w:rPr>
              <w:t>in stages, based on competence and results-</w:t>
            </w:r>
            <w:r w:rsidR="00F85EBC" w:rsidRPr="00143674">
              <w:rPr>
                <w:rFonts w:asciiTheme="minorHAnsi" w:eastAsia="Times New Roman" w:hAnsiTheme="minorHAnsi" w:cs="Arial"/>
                <w:lang w:val="en-GB"/>
              </w:rPr>
              <w:t xml:space="preserve">based differentiation </w:t>
            </w:r>
            <w:r w:rsidR="00BB796B" w:rsidRPr="00143674">
              <w:rPr>
                <w:rFonts w:asciiTheme="minorHAnsi" w:eastAsia="Times New Roman" w:hAnsiTheme="minorHAnsi" w:cs="Arial"/>
                <w:lang w:val="en-GB"/>
              </w:rPr>
              <w:t xml:space="preserve"> </w:t>
            </w:r>
          </w:p>
        </w:tc>
        <w:tc>
          <w:tcPr>
            <w:tcW w:w="4820" w:type="dxa"/>
            <w:shd w:val="clear" w:color="auto" w:fill="FFFFFF"/>
          </w:tcPr>
          <w:p w:rsidR="008D2566" w:rsidRPr="00143674" w:rsidRDefault="007A4DE8"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5.10.1. </w:t>
            </w:r>
            <w:r w:rsidR="00EC1616" w:rsidRPr="00143674">
              <w:rPr>
                <w:rFonts w:asciiTheme="minorHAnsi" w:eastAsia="Times New Roman" w:hAnsiTheme="minorHAnsi" w:cs="Arial"/>
                <w:lang w:val="en-GB"/>
              </w:rPr>
              <w:t>Imply the increase of their annual salary rate to per capita gross domestic product in stages</w:t>
            </w:r>
          </w:p>
        </w:tc>
        <w:tc>
          <w:tcPr>
            <w:tcW w:w="3544" w:type="dxa"/>
            <w:shd w:val="clear" w:color="auto" w:fill="FFFFFF"/>
          </w:tcPr>
          <w:p w:rsidR="008D2566" w:rsidRPr="00143674" w:rsidRDefault="00EC1616" w:rsidP="00E71D9E">
            <w:pPr>
              <w:rPr>
                <w:rFonts w:asciiTheme="minorHAnsi" w:eastAsia="Times New Roman" w:hAnsiTheme="minorHAnsi" w:cs="Arial"/>
                <w:lang w:val="en-GB"/>
              </w:rPr>
            </w:pPr>
            <w:r w:rsidRPr="00143674">
              <w:rPr>
                <w:rFonts w:asciiTheme="minorHAnsi" w:eastAsia="Times New Roman" w:hAnsiTheme="minorHAnsi" w:cs="Arial"/>
                <w:lang w:val="en-GB"/>
              </w:rPr>
              <w:t>Approval of mechanisms for establishing new salary and incentive system</w:t>
            </w:r>
          </w:p>
        </w:tc>
        <w:tc>
          <w:tcPr>
            <w:tcW w:w="1842" w:type="dxa"/>
            <w:shd w:val="clear" w:color="auto" w:fill="FFFFFF"/>
          </w:tcPr>
          <w:p w:rsidR="008D2566" w:rsidRPr="00143674" w:rsidRDefault="008D256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w:t>
            </w:r>
            <w:r w:rsidR="0041511D" w:rsidRPr="00143674">
              <w:rPr>
                <w:rFonts w:asciiTheme="minorHAnsi" w:eastAsia="Times New Roman" w:hAnsiTheme="minorHAnsi" w:cs="Arial"/>
                <w:lang w:val="en-GB"/>
              </w:rPr>
              <w:t>5</w:t>
            </w:r>
            <w:r w:rsidR="005F483D" w:rsidRPr="00143674">
              <w:rPr>
                <w:rFonts w:asciiTheme="minorHAnsi" w:eastAsia="Times New Roman" w:hAnsiTheme="minorHAnsi" w:cs="Arial"/>
                <w:lang w:val="en-GB"/>
              </w:rPr>
              <w:t>–2022</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Education</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Labour and Social Protection of Population</w:t>
            </w:r>
          </w:p>
        </w:tc>
      </w:tr>
      <w:tr w:rsidR="008D2566" w:rsidRPr="00143674" w:rsidTr="00E71D9E">
        <w:trPr>
          <w:cantSplit/>
          <w:trHeight w:val="283"/>
          <w:jc w:val="center"/>
        </w:trPr>
        <w:tc>
          <w:tcPr>
            <w:tcW w:w="3446" w:type="dxa"/>
            <w:shd w:val="clear" w:color="auto" w:fill="FFFFFF"/>
          </w:tcPr>
          <w:p w:rsidR="00DA1A45"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5.11. </w:t>
            </w:r>
            <w:r w:rsidR="005D1776" w:rsidRPr="00143674">
              <w:rPr>
                <w:rFonts w:asciiTheme="minorHAnsi" w:eastAsia="Times New Roman" w:hAnsiTheme="minorHAnsi" w:cs="Arial"/>
                <w:lang w:val="en-GB"/>
              </w:rPr>
              <w:t xml:space="preserve">Increase  the rate of annual expenses per student to per capita gross domestic product up to 2 times in complete secondary education </w:t>
            </w:r>
          </w:p>
        </w:tc>
        <w:tc>
          <w:tcPr>
            <w:tcW w:w="4820" w:type="dxa"/>
            <w:shd w:val="clear" w:color="auto" w:fill="FFFFFF"/>
          </w:tcPr>
          <w:p w:rsidR="008D2566" w:rsidRPr="00143674" w:rsidRDefault="00303ABD"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5.11.1. </w:t>
            </w:r>
            <w:r w:rsidR="009E565D" w:rsidRPr="00143674">
              <w:rPr>
                <w:rFonts w:asciiTheme="minorHAnsi" w:eastAsia="Times New Roman" w:hAnsiTheme="minorHAnsi" w:cs="Arial"/>
                <w:lang w:val="en-GB"/>
              </w:rPr>
              <w:t>Imply the stagy-by-stage increase of the rate of annual expenses per student to per capita gross domestic product in complete secondary education in mid-term forecasting</w:t>
            </w:r>
          </w:p>
        </w:tc>
        <w:tc>
          <w:tcPr>
            <w:tcW w:w="3544" w:type="dxa"/>
            <w:shd w:val="clear" w:color="auto" w:fill="FFFFFF"/>
          </w:tcPr>
          <w:p w:rsidR="008D2566" w:rsidRPr="00143674" w:rsidRDefault="009E565D" w:rsidP="00E71D9E">
            <w:pPr>
              <w:rPr>
                <w:rFonts w:asciiTheme="minorHAnsi" w:eastAsia="Times New Roman" w:hAnsiTheme="minorHAnsi" w:cs="Arial"/>
                <w:lang w:val="en-GB"/>
              </w:rPr>
            </w:pPr>
            <w:r w:rsidRPr="00143674">
              <w:rPr>
                <w:rFonts w:asciiTheme="minorHAnsi" w:eastAsia="Times New Roman" w:hAnsiTheme="minorHAnsi" w:cs="Arial"/>
                <w:lang w:val="en-GB"/>
              </w:rPr>
              <w:t>Imply the stag</w:t>
            </w:r>
            <w:r w:rsidR="00E16DAE" w:rsidRPr="00143674">
              <w:rPr>
                <w:rFonts w:asciiTheme="minorHAnsi" w:eastAsia="Times New Roman" w:hAnsiTheme="minorHAnsi" w:cs="Arial"/>
                <w:lang w:val="en-GB"/>
              </w:rPr>
              <w:t>e</w:t>
            </w:r>
            <w:r w:rsidRPr="00143674">
              <w:rPr>
                <w:rFonts w:asciiTheme="minorHAnsi" w:eastAsia="Times New Roman" w:hAnsiTheme="minorHAnsi" w:cs="Arial"/>
                <w:lang w:val="en-GB"/>
              </w:rPr>
              <w:t>-by-stage increase of the rate of educational funding expenses to per capita gross domestic product in mid-term forecasting</w:t>
            </w:r>
          </w:p>
        </w:tc>
        <w:tc>
          <w:tcPr>
            <w:tcW w:w="1842" w:type="dxa"/>
            <w:shd w:val="clear" w:color="auto" w:fill="FFFFFF"/>
          </w:tcPr>
          <w:p w:rsidR="008D2566" w:rsidRPr="00143674" w:rsidRDefault="008D256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2016–2022</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Education</w:t>
            </w:r>
          </w:p>
        </w:tc>
      </w:tr>
      <w:tr w:rsidR="008D2566" w:rsidRPr="00143674" w:rsidTr="00E71D9E">
        <w:trPr>
          <w:cantSplit/>
          <w:trHeight w:val="283"/>
          <w:jc w:val="center"/>
        </w:trPr>
        <w:tc>
          <w:tcPr>
            <w:tcW w:w="3446" w:type="dxa"/>
            <w:shd w:val="clear" w:color="auto" w:fill="FFFFFF"/>
          </w:tcPr>
          <w:p w:rsidR="00966A12"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5.12. </w:t>
            </w:r>
            <w:r w:rsidR="00EF2566" w:rsidRPr="00143674">
              <w:rPr>
                <w:rFonts w:asciiTheme="minorHAnsi" w:eastAsia="Times New Roman" w:hAnsiTheme="minorHAnsi" w:cs="Arial"/>
                <w:lang w:val="en-GB"/>
              </w:rPr>
              <w:t>Allocate additional funds for establishing modern education infrastructure as well as e-learning resources based on information and communication technologies</w:t>
            </w:r>
          </w:p>
        </w:tc>
        <w:tc>
          <w:tcPr>
            <w:tcW w:w="4820" w:type="dxa"/>
            <w:shd w:val="clear" w:color="auto" w:fill="FFFFFF"/>
          </w:tcPr>
          <w:p w:rsidR="008D2566" w:rsidRPr="00143674" w:rsidRDefault="00AA2E4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5.12.1. </w:t>
            </w:r>
            <w:r w:rsidR="001C17FD" w:rsidRPr="00143674">
              <w:rPr>
                <w:rFonts w:asciiTheme="minorHAnsi" w:eastAsia="Times New Roman" w:hAnsiTheme="minorHAnsi" w:cs="Arial"/>
                <w:lang w:val="en-GB"/>
              </w:rPr>
              <w:t>Imply the allocation of additional funds for establishing modern education infrastructure as well as e-learning resources based on information and communication technologies, in the mid-term forecasting</w:t>
            </w:r>
          </w:p>
        </w:tc>
        <w:tc>
          <w:tcPr>
            <w:tcW w:w="3544" w:type="dxa"/>
            <w:shd w:val="clear" w:color="auto" w:fill="FFFFFF"/>
          </w:tcPr>
          <w:p w:rsidR="008D2566" w:rsidRPr="00143674" w:rsidRDefault="00E16DAE" w:rsidP="00E71D9E">
            <w:pPr>
              <w:rPr>
                <w:rFonts w:asciiTheme="minorHAnsi" w:eastAsia="Times New Roman" w:hAnsiTheme="minorHAnsi" w:cs="Arial"/>
                <w:lang w:val="en-GB"/>
              </w:rPr>
            </w:pPr>
            <w:r w:rsidRPr="00143674">
              <w:rPr>
                <w:rFonts w:asciiTheme="minorHAnsi" w:eastAsia="Times New Roman" w:hAnsiTheme="minorHAnsi" w:cs="Arial"/>
                <w:lang w:val="en-GB"/>
              </w:rPr>
              <w:t>Imply the stage-by-stage increase of the rate of educational funding expenses to per capita gross domestic product in mid-term forecasting</w:t>
            </w:r>
          </w:p>
        </w:tc>
        <w:tc>
          <w:tcPr>
            <w:tcW w:w="1842" w:type="dxa"/>
            <w:shd w:val="clear" w:color="auto" w:fill="FFFFFF"/>
          </w:tcPr>
          <w:p w:rsidR="008D2566" w:rsidRPr="00143674" w:rsidRDefault="008D256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2016–2022</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Education</w:t>
            </w:r>
          </w:p>
        </w:tc>
      </w:tr>
      <w:tr w:rsidR="008D2566" w:rsidRPr="00143674" w:rsidTr="00E71D9E">
        <w:trPr>
          <w:cantSplit/>
          <w:trHeight w:val="283"/>
          <w:jc w:val="center"/>
        </w:trPr>
        <w:tc>
          <w:tcPr>
            <w:tcW w:w="3446" w:type="dxa"/>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5.13. </w:t>
            </w:r>
            <w:r w:rsidR="00E16DAE" w:rsidRPr="00143674">
              <w:rPr>
                <w:rFonts w:asciiTheme="minorHAnsi" w:eastAsia="Times New Roman" w:hAnsiTheme="minorHAnsi" w:cs="Arial"/>
                <w:lang w:val="en-GB"/>
              </w:rPr>
              <w:t xml:space="preserve">By implementing rationalization measures in the education network, to provide additional funding for educational institutions in remote regions in order to equalize the quality of education among the regions </w:t>
            </w:r>
          </w:p>
        </w:tc>
        <w:tc>
          <w:tcPr>
            <w:tcW w:w="4820" w:type="dxa"/>
            <w:shd w:val="clear" w:color="auto" w:fill="FFFFFF"/>
          </w:tcPr>
          <w:p w:rsidR="008D2566" w:rsidRPr="00143674" w:rsidRDefault="00AA2E4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5.13.1. </w:t>
            </w:r>
            <w:r w:rsidR="00CB6A0E" w:rsidRPr="00143674">
              <w:rPr>
                <w:rFonts w:asciiTheme="minorHAnsi" w:eastAsia="Times New Roman" w:hAnsiTheme="minorHAnsi" w:cs="Arial"/>
                <w:lang w:val="en-GB"/>
              </w:rPr>
              <w:t xml:space="preserve">Imply additional funding for educational institutions in remote regions in the financing mechanism of educational institutions based on per capita expenses </w:t>
            </w:r>
          </w:p>
        </w:tc>
        <w:tc>
          <w:tcPr>
            <w:tcW w:w="3544" w:type="dxa"/>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D2566" w:rsidRPr="00143674" w:rsidRDefault="00FB3D7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as of 2017</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regular</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Education</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local executive power authorities</w:t>
            </w:r>
          </w:p>
        </w:tc>
      </w:tr>
      <w:tr w:rsidR="008D2566" w:rsidRPr="00143674" w:rsidTr="00E71D9E">
        <w:trPr>
          <w:cantSplit/>
          <w:trHeight w:val="283"/>
          <w:jc w:val="center"/>
        </w:trPr>
        <w:tc>
          <w:tcPr>
            <w:tcW w:w="3446" w:type="dxa"/>
            <w:vMerge w:val="restart"/>
            <w:shd w:val="clear" w:color="auto" w:fill="FFFFFF"/>
          </w:tcPr>
          <w:p w:rsidR="008D2566" w:rsidRPr="00143674" w:rsidRDefault="008D2566" w:rsidP="00E71D9E">
            <w:pPr>
              <w:ind w:right="-57"/>
              <w:rPr>
                <w:rFonts w:asciiTheme="minorHAnsi" w:eastAsia="Times New Roman" w:hAnsiTheme="minorHAnsi" w:cs="Arial"/>
                <w:lang w:val="en-GB"/>
              </w:rPr>
            </w:pPr>
            <w:r w:rsidRPr="00143674">
              <w:rPr>
                <w:rFonts w:asciiTheme="minorHAnsi" w:eastAsia="Times New Roman" w:hAnsiTheme="minorHAnsi" w:cs="Arial"/>
                <w:lang w:val="en-GB"/>
              </w:rPr>
              <w:t xml:space="preserve">5.14. </w:t>
            </w:r>
            <w:r w:rsidR="00CB6A0E" w:rsidRPr="00143674">
              <w:rPr>
                <w:rFonts w:asciiTheme="minorHAnsi" w:eastAsia="Times New Roman" w:hAnsiTheme="minorHAnsi" w:cs="Arial"/>
                <w:lang w:val="en-GB"/>
              </w:rPr>
              <w:t xml:space="preserve">Create financial mechanisms, as well as a student loans system to expand education opportunities </w:t>
            </w:r>
          </w:p>
        </w:tc>
        <w:tc>
          <w:tcPr>
            <w:tcW w:w="4820" w:type="dxa"/>
            <w:shd w:val="clear" w:color="auto" w:fill="FFFFFF"/>
          </w:tcPr>
          <w:p w:rsidR="000F6ECB" w:rsidRPr="00143674" w:rsidRDefault="00272601"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5.14.1. </w:t>
            </w:r>
            <w:r w:rsidR="00CB6A0E" w:rsidRPr="00143674">
              <w:rPr>
                <w:rFonts w:asciiTheme="minorHAnsi" w:eastAsia="Times New Roman" w:hAnsiTheme="minorHAnsi" w:cs="Arial"/>
                <w:lang w:val="en-GB"/>
              </w:rPr>
              <w:t>Establish legal framework for financial mechanisms, as well as a student loans and grants system to expand education opportunities</w:t>
            </w:r>
          </w:p>
        </w:tc>
        <w:tc>
          <w:tcPr>
            <w:tcW w:w="3544" w:type="dxa"/>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w:t>
            </w:r>
          </w:p>
        </w:tc>
        <w:tc>
          <w:tcPr>
            <w:tcW w:w="1842" w:type="dxa"/>
            <w:shd w:val="clear" w:color="auto" w:fill="FFFFFF"/>
          </w:tcPr>
          <w:p w:rsidR="008D2566" w:rsidRPr="00143674" w:rsidRDefault="008D256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2015–2016</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Cabinet of Ministers</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Education</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Economy and Industry</w:t>
            </w:r>
          </w:p>
        </w:tc>
      </w:tr>
      <w:tr w:rsidR="008D2566" w:rsidRPr="00143674" w:rsidTr="00E71D9E">
        <w:trPr>
          <w:cantSplit/>
          <w:trHeight w:val="283"/>
          <w:jc w:val="center"/>
        </w:trPr>
        <w:tc>
          <w:tcPr>
            <w:tcW w:w="3446" w:type="dxa"/>
            <w:vMerge/>
            <w:shd w:val="clear" w:color="auto" w:fill="FFFFFF"/>
          </w:tcPr>
          <w:p w:rsidR="008D2566" w:rsidRPr="00143674" w:rsidRDefault="008D2566" w:rsidP="00E71D9E">
            <w:pPr>
              <w:rPr>
                <w:rFonts w:asciiTheme="minorHAnsi" w:eastAsia="Times New Roman" w:hAnsiTheme="minorHAnsi" w:cs="Arial"/>
                <w:lang w:val="en-GB"/>
              </w:rPr>
            </w:pPr>
          </w:p>
        </w:tc>
        <w:tc>
          <w:tcPr>
            <w:tcW w:w="4820" w:type="dxa"/>
            <w:shd w:val="clear" w:color="auto" w:fill="FFFFFF"/>
          </w:tcPr>
          <w:p w:rsidR="008D2566" w:rsidRPr="00143674" w:rsidRDefault="00272601"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5.14.2. </w:t>
            </w:r>
            <w:r w:rsidR="004D369E" w:rsidRPr="00143674">
              <w:rPr>
                <w:rFonts w:asciiTheme="minorHAnsi" w:eastAsia="Times New Roman" w:hAnsiTheme="minorHAnsi" w:cs="Arial"/>
                <w:lang w:val="en-GB"/>
              </w:rPr>
              <w:t>Implement financial mechanisms, as well as a student loans and grants system to expand education opportunities</w:t>
            </w:r>
          </w:p>
        </w:tc>
        <w:tc>
          <w:tcPr>
            <w:tcW w:w="3544" w:type="dxa"/>
            <w:shd w:val="clear" w:color="auto" w:fill="FFFFFF"/>
          </w:tcPr>
          <w:p w:rsidR="008D2566" w:rsidRPr="00143674" w:rsidRDefault="004D369E" w:rsidP="00E71D9E">
            <w:pPr>
              <w:rPr>
                <w:rFonts w:asciiTheme="minorHAnsi" w:eastAsia="Times New Roman" w:hAnsiTheme="minorHAnsi" w:cs="Arial"/>
                <w:lang w:val="en-GB"/>
              </w:rPr>
            </w:pPr>
            <w:r w:rsidRPr="00143674">
              <w:rPr>
                <w:rFonts w:asciiTheme="minorHAnsi" w:eastAsia="Times New Roman" w:hAnsiTheme="minorHAnsi" w:cs="Arial"/>
                <w:lang w:val="en-GB"/>
              </w:rPr>
              <w:t>Establishment of legal framework for financial mechanisms, as well as a student loans and grants system to expand education opportunities</w:t>
            </w:r>
          </w:p>
        </w:tc>
        <w:tc>
          <w:tcPr>
            <w:tcW w:w="1842" w:type="dxa"/>
            <w:shd w:val="clear" w:color="auto" w:fill="FFFFFF"/>
          </w:tcPr>
          <w:p w:rsidR="008D2566" w:rsidRPr="00143674" w:rsidRDefault="00FB3D7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as of 2016</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regular</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Economy and Industry</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Central Bank</w:t>
            </w:r>
          </w:p>
        </w:tc>
      </w:tr>
      <w:tr w:rsidR="008D2566" w:rsidRPr="00143674" w:rsidTr="00E71D9E">
        <w:trPr>
          <w:cantSplit/>
          <w:trHeight w:val="283"/>
          <w:jc w:val="center"/>
        </w:trPr>
        <w:tc>
          <w:tcPr>
            <w:tcW w:w="3446" w:type="dxa"/>
            <w:shd w:val="clear" w:color="auto" w:fill="FFFFFF"/>
          </w:tcPr>
          <w:p w:rsidR="008D2566" w:rsidRPr="00143674" w:rsidRDefault="008D256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5.15. </w:t>
            </w:r>
            <w:r w:rsidR="004D369E" w:rsidRPr="00143674">
              <w:rPr>
                <w:rFonts w:asciiTheme="minorHAnsi" w:eastAsia="Times New Roman" w:hAnsiTheme="minorHAnsi" w:cs="Arial"/>
                <w:lang w:val="en-GB"/>
              </w:rPr>
              <w:t>Provide free services to children of pre-school and educational institutions, supply manuals or training materials</w:t>
            </w:r>
          </w:p>
        </w:tc>
        <w:tc>
          <w:tcPr>
            <w:tcW w:w="4820" w:type="dxa"/>
            <w:shd w:val="clear" w:color="auto" w:fill="FFFFFF"/>
          </w:tcPr>
          <w:p w:rsidR="008D2566" w:rsidRPr="00143674" w:rsidRDefault="00E03DE6" w:rsidP="00E71D9E">
            <w:pPr>
              <w:rPr>
                <w:rFonts w:asciiTheme="minorHAnsi" w:eastAsia="Times New Roman" w:hAnsiTheme="minorHAnsi" w:cs="Arial"/>
                <w:lang w:val="en-GB"/>
              </w:rPr>
            </w:pPr>
            <w:r w:rsidRPr="00143674">
              <w:rPr>
                <w:rFonts w:asciiTheme="minorHAnsi" w:eastAsia="Times New Roman" w:hAnsiTheme="minorHAnsi" w:cs="Arial"/>
                <w:lang w:val="en-GB"/>
              </w:rPr>
              <w:t xml:space="preserve">5.15.1. </w:t>
            </w:r>
            <w:r w:rsidR="004D369E" w:rsidRPr="00143674">
              <w:rPr>
                <w:rFonts w:asciiTheme="minorHAnsi" w:eastAsia="Times New Roman" w:hAnsiTheme="minorHAnsi" w:cs="Arial"/>
                <w:lang w:val="en-GB"/>
              </w:rPr>
              <w:t>Develop and implement free services to children of pre-school and educational institutions, supply manuals or training materials in the financing mechanism of educational institutions based on per capita expenses</w:t>
            </w:r>
          </w:p>
        </w:tc>
        <w:tc>
          <w:tcPr>
            <w:tcW w:w="3544" w:type="dxa"/>
            <w:shd w:val="clear" w:color="auto" w:fill="FFFFFF"/>
          </w:tcPr>
          <w:p w:rsidR="008D2566" w:rsidRPr="00143674" w:rsidRDefault="004D369E" w:rsidP="00E71D9E">
            <w:pPr>
              <w:rPr>
                <w:rFonts w:asciiTheme="minorHAnsi" w:eastAsia="Times New Roman" w:hAnsiTheme="minorHAnsi" w:cs="Arial"/>
                <w:lang w:val="en-GB"/>
              </w:rPr>
            </w:pPr>
            <w:r w:rsidRPr="00143674">
              <w:rPr>
                <w:rFonts w:asciiTheme="minorHAnsi" w:eastAsia="Times New Roman" w:hAnsiTheme="minorHAnsi" w:cs="Arial"/>
                <w:lang w:val="en-GB"/>
              </w:rPr>
              <w:t>Imply funds for free services to children of pre-school and educational institutions</w:t>
            </w:r>
            <w:r w:rsidR="009D1A19" w:rsidRPr="00143674">
              <w:rPr>
                <w:rFonts w:asciiTheme="minorHAnsi" w:eastAsia="Times New Roman" w:hAnsiTheme="minorHAnsi" w:cs="Arial"/>
                <w:lang w:val="en-GB"/>
              </w:rPr>
              <w:t xml:space="preserve"> (manuals or training materials, etc.)</w:t>
            </w:r>
            <w:r w:rsidRPr="00143674">
              <w:rPr>
                <w:rFonts w:asciiTheme="minorHAnsi" w:eastAsia="Times New Roman" w:hAnsiTheme="minorHAnsi" w:cs="Arial"/>
                <w:lang w:val="en-GB"/>
              </w:rPr>
              <w:t>, in the financing mechanism of educational institutions based on per capita expenses</w:t>
            </w:r>
            <w:r w:rsidR="009D1A19" w:rsidRPr="00143674">
              <w:rPr>
                <w:rFonts w:asciiTheme="minorHAnsi" w:eastAsia="Times New Roman" w:hAnsiTheme="minorHAnsi" w:cs="Arial"/>
                <w:lang w:val="en-GB"/>
              </w:rPr>
              <w:t xml:space="preserve"> </w:t>
            </w:r>
          </w:p>
        </w:tc>
        <w:tc>
          <w:tcPr>
            <w:tcW w:w="1842" w:type="dxa"/>
            <w:shd w:val="clear" w:color="auto" w:fill="FFFFFF"/>
          </w:tcPr>
          <w:p w:rsidR="008D2566" w:rsidRPr="00143674" w:rsidRDefault="00FB3D76" w:rsidP="00E71D9E">
            <w:pPr>
              <w:jc w:val="right"/>
              <w:rPr>
                <w:rFonts w:asciiTheme="minorHAnsi" w:eastAsia="Times New Roman" w:hAnsiTheme="minorHAnsi" w:cs="Arial"/>
                <w:lang w:val="en-GB"/>
              </w:rPr>
            </w:pPr>
            <w:r w:rsidRPr="00143674">
              <w:rPr>
                <w:rFonts w:asciiTheme="minorHAnsi" w:eastAsia="Times New Roman" w:hAnsiTheme="minorHAnsi" w:cs="Arial"/>
                <w:lang w:val="en-GB"/>
              </w:rPr>
              <w:t>as of 2017</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regular</w:t>
            </w:r>
          </w:p>
        </w:tc>
        <w:tc>
          <w:tcPr>
            <w:tcW w:w="2139" w:type="dxa"/>
            <w:shd w:val="clear" w:color="auto" w:fill="FFFFFF"/>
          </w:tcPr>
          <w:p w:rsidR="008D2566" w:rsidRPr="00143674" w:rsidRDefault="00FB3D76" w:rsidP="00E71D9E">
            <w:pPr>
              <w:rPr>
                <w:rFonts w:asciiTheme="minorHAnsi" w:eastAsia="Times New Roman" w:hAnsiTheme="minorHAnsi" w:cs="Arial"/>
                <w:lang w:val="en-GB"/>
              </w:rPr>
            </w:pPr>
            <w:r w:rsidRPr="00143674">
              <w:rPr>
                <w:rFonts w:asciiTheme="minorHAnsi" w:eastAsia="Times New Roman" w:hAnsiTheme="minorHAnsi" w:cs="Arial"/>
                <w:lang w:val="en-GB"/>
              </w:rPr>
              <w:t>Ministry of Education</w:t>
            </w:r>
            <w:r w:rsidR="008D2566" w:rsidRPr="00143674">
              <w:rPr>
                <w:rFonts w:asciiTheme="minorHAnsi" w:eastAsia="Times New Roman" w:hAnsiTheme="minorHAnsi" w:cs="Arial"/>
                <w:lang w:val="en-GB"/>
              </w:rPr>
              <w:t xml:space="preserve">, </w:t>
            </w:r>
            <w:r w:rsidRPr="00143674">
              <w:rPr>
                <w:rFonts w:asciiTheme="minorHAnsi" w:eastAsia="Times New Roman" w:hAnsiTheme="minorHAnsi" w:cs="Arial"/>
                <w:lang w:val="en-GB"/>
              </w:rPr>
              <w:t>Ministry of Economy and Industry</w:t>
            </w:r>
          </w:p>
        </w:tc>
      </w:tr>
    </w:tbl>
    <w:p w:rsidR="00261E0D" w:rsidRPr="00143674" w:rsidRDefault="00261E0D" w:rsidP="007F4366">
      <w:pPr>
        <w:rPr>
          <w:rFonts w:asciiTheme="minorHAnsi" w:hAnsiTheme="minorHAnsi" w:cs="Arial"/>
          <w:sz w:val="28"/>
          <w:szCs w:val="28"/>
          <w:lang w:val="en-GB"/>
        </w:rPr>
      </w:pPr>
    </w:p>
    <w:p w:rsidR="000404C4" w:rsidRPr="00143674" w:rsidRDefault="000404C4" w:rsidP="007F4366">
      <w:pPr>
        <w:rPr>
          <w:rFonts w:asciiTheme="minorHAnsi" w:hAnsiTheme="minorHAnsi" w:cs="Arial"/>
          <w:sz w:val="28"/>
          <w:szCs w:val="28"/>
          <w:lang w:val="en-GB"/>
        </w:rPr>
      </w:pPr>
      <w:r w:rsidRPr="00143674">
        <w:rPr>
          <w:rFonts w:asciiTheme="minorHAnsi" w:hAnsiTheme="minorHAnsi" w:cs="Arial"/>
          <w:sz w:val="28"/>
          <w:szCs w:val="28"/>
          <w:lang w:val="en-GB"/>
        </w:rPr>
        <w:tab/>
      </w:r>
      <w:r w:rsidRPr="00143674">
        <w:rPr>
          <w:rFonts w:asciiTheme="minorHAnsi" w:hAnsiTheme="minorHAnsi" w:cs="Arial"/>
          <w:sz w:val="28"/>
          <w:szCs w:val="28"/>
          <w:lang w:val="en-GB"/>
        </w:rPr>
        <w:tab/>
      </w:r>
      <w:r w:rsidRPr="00143674">
        <w:rPr>
          <w:rFonts w:asciiTheme="minorHAnsi" w:hAnsiTheme="minorHAnsi" w:cs="Arial"/>
          <w:sz w:val="28"/>
          <w:szCs w:val="28"/>
          <w:lang w:val="en-GB"/>
        </w:rPr>
        <w:tab/>
      </w:r>
      <w:r w:rsidRPr="00143674">
        <w:rPr>
          <w:rFonts w:asciiTheme="minorHAnsi" w:hAnsiTheme="minorHAnsi" w:cs="Arial"/>
          <w:sz w:val="28"/>
          <w:szCs w:val="28"/>
          <w:lang w:val="en-GB"/>
        </w:rPr>
        <w:tab/>
      </w:r>
      <w:r w:rsidRPr="00143674">
        <w:rPr>
          <w:rFonts w:asciiTheme="minorHAnsi" w:hAnsiTheme="minorHAnsi" w:cs="Arial"/>
          <w:sz w:val="28"/>
          <w:szCs w:val="28"/>
          <w:lang w:val="en-GB"/>
        </w:rPr>
        <w:tab/>
      </w:r>
      <w:r w:rsidRPr="00143674">
        <w:rPr>
          <w:rFonts w:asciiTheme="minorHAnsi" w:hAnsiTheme="minorHAnsi" w:cs="Arial"/>
          <w:sz w:val="28"/>
          <w:szCs w:val="28"/>
          <w:lang w:val="en-GB"/>
        </w:rPr>
        <w:tab/>
      </w:r>
      <w:r w:rsidRPr="00143674">
        <w:rPr>
          <w:rFonts w:asciiTheme="minorHAnsi" w:hAnsiTheme="minorHAnsi" w:cs="Arial"/>
          <w:sz w:val="28"/>
          <w:szCs w:val="28"/>
          <w:lang w:val="en-GB"/>
        </w:rPr>
        <w:tab/>
      </w:r>
      <w:r w:rsidRPr="00143674">
        <w:rPr>
          <w:rFonts w:asciiTheme="minorHAnsi" w:hAnsiTheme="minorHAnsi" w:cs="Arial"/>
          <w:sz w:val="28"/>
          <w:szCs w:val="28"/>
          <w:lang w:val="en-GB"/>
        </w:rPr>
        <w:tab/>
      </w:r>
      <w:r w:rsidRPr="00143674">
        <w:rPr>
          <w:rFonts w:asciiTheme="minorHAnsi" w:hAnsiTheme="minorHAnsi" w:cs="Arial"/>
          <w:sz w:val="28"/>
          <w:szCs w:val="28"/>
          <w:lang w:val="en-GB"/>
        </w:rPr>
        <w:tab/>
      </w:r>
      <w:r w:rsidRPr="00143674">
        <w:rPr>
          <w:rFonts w:asciiTheme="minorHAnsi" w:hAnsiTheme="minorHAnsi" w:cs="Arial"/>
          <w:sz w:val="28"/>
          <w:szCs w:val="28"/>
          <w:lang w:val="en-GB"/>
        </w:rPr>
        <w:tab/>
      </w:r>
      <w:r w:rsidRPr="00143674">
        <w:rPr>
          <w:rFonts w:asciiTheme="minorHAnsi" w:hAnsiTheme="minorHAnsi" w:cs="Arial"/>
          <w:sz w:val="28"/>
          <w:szCs w:val="28"/>
          <w:lang w:val="en-GB"/>
        </w:rPr>
        <w:tab/>
      </w:r>
      <w:r w:rsidRPr="00143674">
        <w:rPr>
          <w:rFonts w:asciiTheme="minorHAnsi" w:hAnsiTheme="minorHAnsi" w:cs="Arial"/>
          <w:sz w:val="28"/>
          <w:szCs w:val="28"/>
          <w:lang w:val="en-GB"/>
        </w:rPr>
        <w:tab/>
      </w:r>
    </w:p>
    <w:sectPr w:rsidR="000404C4" w:rsidRPr="00143674" w:rsidSect="00EF297D">
      <w:headerReference w:type="even" r:id="rId8"/>
      <w:headerReference w:type="default" r:id="rId9"/>
      <w:footerReference w:type="even" r:id="rId10"/>
      <w:footerReference w:type="default" r:id="rId11"/>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C19" w:rsidRDefault="00943C19">
      <w:r>
        <w:separator/>
      </w:r>
    </w:p>
  </w:endnote>
  <w:endnote w:type="continuationSeparator" w:id="0">
    <w:p w:rsidR="00943C19" w:rsidRDefault="0094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74" w:rsidRDefault="00143674" w:rsidP="0054103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43674" w:rsidRDefault="00143674" w:rsidP="008626D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224290597"/>
      <w:docPartObj>
        <w:docPartGallery w:val="Page Numbers (Bottom of Page)"/>
        <w:docPartUnique/>
      </w:docPartObj>
    </w:sdtPr>
    <w:sdtEndPr/>
    <w:sdtContent>
      <w:p w:rsidR="00EF297D" w:rsidRPr="00EF297D" w:rsidRDefault="00EF297D">
        <w:pPr>
          <w:pStyle w:val="a3"/>
          <w:jc w:val="right"/>
          <w:rPr>
            <w:rFonts w:asciiTheme="minorHAnsi" w:hAnsiTheme="minorHAnsi"/>
          </w:rPr>
        </w:pPr>
        <w:r w:rsidRPr="00EF297D">
          <w:rPr>
            <w:rFonts w:asciiTheme="minorHAnsi" w:hAnsiTheme="minorHAnsi"/>
          </w:rPr>
          <w:fldChar w:fldCharType="begin"/>
        </w:r>
        <w:r w:rsidRPr="00EF297D">
          <w:rPr>
            <w:rFonts w:asciiTheme="minorHAnsi" w:hAnsiTheme="minorHAnsi"/>
          </w:rPr>
          <w:instrText>PAGE   \* MERGEFORMAT</w:instrText>
        </w:r>
        <w:r w:rsidRPr="00EF297D">
          <w:rPr>
            <w:rFonts w:asciiTheme="minorHAnsi" w:hAnsiTheme="minorHAnsi"/>
          </w:rPr>
          <w:fldChar w:fldCharType="separate"/>
        </w:r>
        <w:r w:rsidR="000B70F3" w:rsidRPr="000B70F3">
          <w:rPr>
            <w:rFonts w:asciiTheme="minorHAnsi" w:hAnsiTheme="minorHAnsi"/>
            <w:noProof/>
            <w:lang w:val="cs-CZ"/>
          </w:rPr>
          <w:t>23</w:t>
        </w:r>
        <w:r w:rsidRPr="00EF297D">
          <w:rPr>
            <w:rFonts w:asciiTheme="minorHAnsi" w:hAnsiTheme="minorHAnsi"/>
          </w:rPr>
          <w:fldChar w:fldCharType="end"/>
        </w:r>
      </w:p>
    </w:sdtContent>
  </w:sdt>
  <w:p w:rsidR="00143674" w:rsidRPr="00BB38DB" w:rsidRDefault="00143674" w:rsidP="008626D2">
    <w:pPr>
      <w:pStyle w:val="a3"/>
      <w:ind w:right="360"/>
      <w:rPr>
        <w:lang w:val="az-Latn-A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C19" w:rsidRDefault="00943C19">
      <w:r>
        <w:separator/>
      </w:r>
    </w:p>
  </w:footnote>
  <w:footnote w:type="continuationSeparator" w:id="0">
    <w:p w:rsidR="00943C19" w:rsidRDefault="00943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74" w:rsidRDefault="00143674" w:rsidP="0013003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43674" w:rsidRDefault="00143674" w:rsidP="00E616E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74" w:rsidRPr="00130035" w:rsidRDefault="00143674" w:rsidP="00130035">
    <w:pPr>
      <w:pStyle w:val="a6"/>
      <w:framePr w:wrap="around" w:vAnchor="text" w:hAnchor="page" w:x="15715" w:y="-122"/>
      <w:rPr>
        <w:rStyle w:val="a5"/>
        <w:sz w:val="22"/>
        <w:szCs w:val="22"/>
      </w:rPr>
    </w:pPr>
  </w:p>
  <w:p w:rsidR="00143674" w:rsidRDefault="005860F3" w:rsidP="005860F3">
    <w:pPr>
      <w:pStyle w:val="a6"/>
      <w:tabs>
        <w:tab w:val="clear" w:pos="4677"/>
        <w:tab w:val="clear" w:pos="9355"/>
        <w:tab w:val="left" w:pos="10107"/>
      </w:tabs>
      <w:ind w:right="360"/>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D16AD"/>
    <w:rsid w:val="00000297"/>
    <w:rsid w:val="0000178E"/>
    <w:rsid w:val="00001E46"/>
    <w:rsid w:val="00002A3F"/>
    <w:rsid w:val="00005373"/>
    <w:rsid w:val="000072A5"/>
    <w:rsid w:val="000100A6"/>
    <w:rsid w:val="00010B57"/>
    <w:rsid w:val="00021D5E"/>
    <w:rsid w:val="00023B13"/>
    <w:rsid w:val="00027712"/>
    <w:rsid w:val="000319D3"/>
    <w:rsid w:val="00032CD5"/>
    <w:rsid w:val="00034AE8"/>
    <w:rsid w:val="00040144"/>
    <w:rsid w:val="000404C4"/>
    <w:rsid w:val="00045F03"/>
    <w:rsid w:val="00054F28"/>
    <w:rsid w:val="000601ED"/>
    <w:rsid w:val="0006739C"/>
    <w:rsid w:val="00071DB6"/>
    <w:rsid w:val="0007328B"/>
    <w:rsid w:val="000755CA"/>
    <w:rsid w:val="00080C7C"/>
    <w:rsid w:val="00083942"/>
    <w:rsid w:val="00085D85"/>
    <w:rsid w:val="000868F4"/>
    <w:rsid w:val="00090BC7"/>
    <w:rsid w:val="00093757"/>
    <w:rsid w:val="000A2EDA"/>
    <w:rsid w:val="000A555B"/>
    <w:rsid w:val="000A69EB"/>
    <w:rsid w:val="000B70F3"/>
    <w:rsid w:val="000C3F26"/>
    <w:rsid w:val="000C5634"/>
    <w:rsid w:val="000C5BC1"/>
    <w:rsid w:val="000C68E4"/>
    <w:rsid w:val="000D1F82"/>
    <w:rsid w:val="000D2471"/>
    <w:rsid w:val="000D4633"/>
    <w:rsid w:val="000D4BD6"/>
    <w:rsid w:val="000D7267"/>
    <w:rsid w:val="000E330D"/>
    <w:rsid w:val="000E505C"/>
    <w:rsid w:val="000F1007"/>
    <w:rsid w:val="000F2A82"/>
    <w:rsid w:val="000F6ECB"/>
    <w:rsid w:val="000F7A49"/>
    <w:rsid w:val="00101EEA"/>
    <w:rsid w:val="00112CDB"/>
    <w:rsid w:val="00113709"/>
    <w:rsid w:val="0011395D"/>
    <w:rsid w:val="00117B4E"/>
    <w:rsid w:val="00120D44"/>
    <w:rsid w:val="00125654"/>
    <w:rsid w:val="00127152"/>
    <w:rsid w:val="00130035"/>
    <w:rsid w:val="00134556"/>
    <w:rsid w:val="00134E6E"/>
    <w:rsid w:val="001352D7"/>
    <w:rsid w:val="001421FB"/>
    <w:rsid w:val="00143674"/>
    <w:rsid w:val="00146F74"/>
    <w:rsid w:val="0015000E"/>
    <w:rsid w:val="00152CD1"/>
    <w:rsid w:val="00153513"/>
    <w:rsid w:val="00156741"/>
    <w:rsid w:val="00156AC2"/>
    <w:rsid w:val="001639A6"/>
    <w:rsid w:val="001809BE"/>
    <w:rsid w:val="0018270C"/>
    <w:rsid w:val="00185CCF"/>
    <w:rsid w:val="00196149"/>
    <w:rsid w:val="001A13C3"/>
    <w:rsid w:val="001B11EC"/>
    <w:rsid w:val="001B2F39"/>
    <w:rsid w:val="001B5542"/>
    <w:rsid w:val="001C17FD"/>
    <w:rsid w:val="001C647C"/>
    <w:rsid w:val="001D1252"/>
    <w:rsid w:val="001F69E8"/>
    <w:rsid w:val="002015D7"/>
    <w:rsid w:val="00202BB6"/>
    <w:rsid w:val="002061DB"/>
    <w:rsid w:val="0021054E"/>
    <w:rsid w:val="00223FCE"/>
    <w:rsid w:val="002328CA"/>
    <w:rsid w:val="002357D6"/>
    <w:rsid w:val="00236CB6"/>
    <w:rsid w:val="002403B2"/>
    <w:rsid w:val="00241B54"/>
    <w:rsid w:val="00246DBF"/>
    <w:rsid w:val="002471F4"/>
    <w:rsid w:val="00252E41"/>
    <w:rsid w:val="0025385F"/>
    <w:rsid w:val="002547DA"/>
    <w:rsid w:val="00254848"/>
    <w:rsid w:val="0025745C"/>
    <w:rsid w:val="002600FA"/>
    <w:rsid w:val="00261E0D"/>
    <w:rsid w:val="00262FFA"/>
    <w:rsid w:val="00266326"/>
    <w:rsid w:val="0027070C"/>
    <w:rsid w:val="00270C0B"/>
    <w:rsid w:val="0027250C"/>
    <w:rsid w:val="00272601"/>
    <w:rsid w:val="00276213"/>
    <w:rsid w:val="002774C9"/>
    <w:rsid w:val="00277514"/>
    <w:rsid w:val="0028544C"/>
    <w:rsid w:val="00292009"/>
    <w:rsid w:val="00296B6A"/>
    <w:rsid w:val="002A23EE"/>
    <w:rsid w:val="002A29C3"/>
    <w:rsid w:val="002A613C"/>
    <w:rsid w:val="002B0A59"/>
    <w:rsid w:val="002B12F0"/>
    <w:rsid w:val="002B147E"/>
    <w:rsid w:val="002B2A0C"/>
    <w:rsid w:val="002B2BD5"/>
    <w:rsid w:val="002C6E22"/>
    <w:rsid w:val="002D38EE"/>
    <w:rsid w:val="002D535D"/>
    <w:rsid w:val="002E12C3"/>
    <w:rsid w:val="002E137E"/>
    <w:rsid w:val="002E25AF"/>
    <w:rsid w:val="002E6B23"/>
    <w:rsid w:val="002F0BB6"/>
    <w:rsid w:val="002F43BE"/>
    <w:rsid w:val="002F4813"/>
    <w:rsid w:val="00300365"/>
    <w:rsid w:val="00303062"/>
    <w:rsid w:val="00303ABD"/>
    <w:rsid w:val="0031131C"/>
    <w:rsid w:val="0031636C"/>
    <w:rsid w:val="00317811"/>
    <w:rsid w:val="00317ABF"/>
    <w:rsid w:val="00321024"/>
    <w:rsid w:val="00321DC8"/>
    <w:rsid w:val="00335286"/>
    <w:rsid w:val="003406AE"/>
    <w:rsid w:val="003527DA"/>
    <w:rsid w:val="00355FEF"/>
    <w:rsid w:val="00357B44"/>
    <w:rsid w:val="00363211"/>
    <w:rsid w:val="00366F83"/>
    <w:rsid w:val="00370DD5"/>
    <w:rsid w:val="00374B10"/>
    <w:rsid w:val="00380162"/>
    <w:rsid w:val="003814FD"/>
    <w:rsid w:val="0039011B"/>
    <w:rsid w:val="003911B1"/>
    <w:rsid w:val="003A2A26"/>
    <w:rsid w:val="003A4831"/>
    <w:rsid w:val="003A7315"/>
    <w:rsid w:val="003B263E"/>
    <w:rsid w:val="003B762C"/>
    <w:rsid w:val="003B7E09"/>
    <w:rsid w:val="003C31D4"/>
    <w:rsid w:val="003D210D"/>
    <w:rsid w:val="003D466B"/>
    <w:rsid w:val="003D69D1"/>
    <w:rsid w:val="003E0D10"/>
    <w:rsid w:val="003E137D"/>
    <w:rsid w:val="003E3365"/>
    <w:rsid w:val="003E53AF"/>
    <w:rsid w:val="003E5D3B"/>
    <w:rsid w:val="003F109B"/>
    <w:rsid w:val="003F3A93"/>
    <w:rsid w:val="003F494C"/>
    <w:rsid w:val="00401533"/>
    <w:rsid w:val="00403C51"/>
    <w:rsid w:val="004104A1"/>
    <w:rsid w:val="00411542"/>
    <w:rsid w:val="00413D1B"/>
    <w:rsid w:val="0041511D"/>
    <w:rsid w:val="004237BB"/>
    <w:rsid w:val="00430053"/>
    <w:rsid w:val="0043038B"/>
    <w:rsid w:val="004378A9"/>
    <w:rsid w:val="004378BE"/>
    <w:rsid w:val="004535E2"/>
    <w:rsid w:val="0045603D"/>
    <w:rsid w:val="004561EE"/>
    <w:rsid w:val="00456386"/>
    <w:rsid w:val="00463981"/>
    <w:rsid w:val="00464135"/>
    <w:rsid w:val="00464C4C"/>
    <w:rsid w:val="00465D6A"/>
    <w:rsid w:val="004666DC"/>
    <w:rsid w:val="0046784A"/>
    <w:rsid w:val="004701F2"/>
    <w:rsid w:val="00470CDD"/>
    <w:rsid w:val="00475275"/>
    <w:rsid w:val="0047549B"/>
    <w:rsid w:val="004765AC"/>
    <w:rsid w:val="0048474F"/>
    <w:rsid w:val="00486D80"/>
    <w:rsid w:val="00487B3F"/>
    <w:rsid w:val="00487BFD"/>
    <w:rsid w:val="004905FE"/>
    <w:rsid w:val="004A38CC"/>
    <w:rsid w:val="004B290F"/>
    <w:rsid w:val="004B31D2"/>
    <w:rsid w:val="004C34EF"/>
    <w:rsid w:val="004C6BE8"/>
    <w:rsid w:val="004D369E"/>
    <w:rsid w:val="004D36D9"/>
    <w:rsid w:val="004D3F2E"/>
    <w:rsid w:val="004D791F"/>
    <w:rsid w:val="004E455A"/>
    <w:rsid w:val="004E6BF7"/>
    <w:rsid w:val="004F07CA"/>
    <w:rsid w:val="004F241E"/>
    <w:rsid w:val="004F3B60"/>
    <w:rsid w:val="004F4575"/>
    <w:rsid w:val="004F6942"/>
    <w:rsid w:val="00502048"/>
    <w:rsid w:val="0050692A"/>
    <w:rsid w:val="00506CE7"/>
    <w:rsid w:val="00511308"/>
    <w:rsid w:val="00521FE2"/>
    <w:rsid w:val="00525D65"/>
    <w:rsid w:val="00527F14"/>
    <w:rsid w:val="005401E5"/>
    <w:rsid w:val="00541035"/>
    <w:rsid w:val="0054352E"/>
    <w:rsid w:val="0054563E"/>
    <w:rsid w:val="0054619C"/>
    <w:rsid w:val="0055466B"/>
    <w:rsid w:val="005577DB"/>
    <w:rsid w:val="00563286"/>
    <w:rsid w:val="0056435E"/>
    <w:rsid w:val="005645FE"/>
    <w:rsid w:val="005670C3"/>
    <w:rsid w:val="005708B1"/>
    <w:rsid w:val="00570BC5"/>
    <w:rsid w:val="00575132"/>
    <w:rsid w:val="00575B82"/>
    <w:rsid w:val="00576FD0"/>
    <w:rsid w:val="0058295F"/>
    <w:rsid w:val="00583F24"/>
    <w:rsid w:val="00585061"/>
    <w:rsid w:val="00585628"/>
    <w:rsid w:val="005860F3"/>
    <w:rsid w:val="00586E68"/>
    <w:rsid w:val="0059120B"/>
    <w:rsid w:val="00591491"/>
    <w:rsid w:val="00591FE2"/>
    <w:rsid w:val="00595B01"/>
    <w:rsid w:val="00597481"/>
    <w:rsid w:val="0059789C"/>
    <w:rsid w:val="00597F4F"/>
    <w:rsid w:val="005B555A"/>
    <w:rsid w:val="005C49B1"/>
    <w:rsid w:val="005C53F5"/>
    <w:rsid w:val="005C5504"/>
    <w:rsid w:val="005C7549"/>
    <w:rsid w:val="005D1776"/>
    <w:rsid w:val="005D2327"/>
    <w:rsid w:val="005D30A8"/>
    <w:rsid w:val="005D5AA5"/>
    <w:rsid w:val="005D6BD6"/>
    <w:rsid w:val="005E0031"/>
    <w:rsid w:val="005E3B55"/>
    <w:rsid w:val="005F483D"/>
    <w:rsid w:val="005F5AFF"/>
    <w:rsid w:val="005F7164"/>
    <w:rsid w:val="006038F6"/>
    <w:rsid w:val="00624948"/>
    <w:rsid w:val="00626F87"/>
    <w:rsid w:val="006330C1"/>
    <w:rsid w:val="00641F2A"/>
    <w:rsid w:val="006423EC"/>
    <w:rsid w:val="00646877"/>
    <w:rsid w:val="00651E13"/>
    <w:rsid w:val="00654544"/>
    <w:rsid w:val="00657EC8"/>
    <w:rsid w:val="00666FF7"/>
    <w:rsid w:val="00667FBC"/>
    <w:rsid w:val="0067330F"/>
    <w:rsid w:val="006766DA"/>
    <w:rsid w:val="00677220"/>
    <w:rsid w:val="00684392"/>
    <w:rsid w:val="006855FB"/>
    <w:rsid w:val="00687DA0"/>
    <w:rsid w:val="00691803"/>
    <w:rsid w:val="006933DA"/>
    <w:rsid w:val="00696B35"/>
    <w:rsid w:val="006A168A"/>
    <w:rsid w:val="006A5BF7"/>
    <w:rsid w:val="006B06EA"/>
    <w:rsid w:val="006C2F3C"/>
    <w:rsid w:val="006D16AD"/>
    <w:rsid w:val="006D42A5"/>
    <w:rsid w:val="006E124A"/>
    <w:rsid w:val="006F0B22"/>
    <w:rsid w:val="006F5CE9"/>
    <w:rsid w:val="00701912"/>
    <w:rsid w:val="00707597"/>
    <w:rsid w:val="00707805"/>
    <w:rsid w:val="00707A8C"/>
    <w:rsid w:val="00714F4C"/>
    <w:rsid w:val="00723BD4"/>
    <w:rsid w:val="0073220A"/>
    <w:rsid w:val="007339A0"/>
    <w:rsid w:val="00735706"/>
    <w:rsid w:val="00741973"/>
    <w:rsid w:val="00741FC1"/>
    <w:rsid w:val="007453EF"/>
    <w:rsid w:val="0074715B"/>
    <w:rsid w:val="00751537"/>
    <w:rsid w:val="00751FA7"/>
    <w:rsid w:val="00755081"/>
    <w:rsid w:val="00757FF6"/>
    <w:rsid w:val="00771C9D"/>
    <w:rsid w:val="007732BB"/>
    <w:rsid w:val="00774383"/>
    <w:rsid w:val="00781835"/>
    <w:rsid w:val="007866CE"/>
    <w:rsid w:val="00794437"/>
    <w:rsid w:val="00797A0F"/>
    <w:rsid w:val="007A0206"/>
    <w:rsid w:val="007A0873"/>
    <w:rsid w:val="007A1487"/>
    <w:rsid w:val="007A22B4"/>
    <w:rsid w:val="007A4DE8"/>
    <w:rsid w:val="007A6561"/>
    <w:rsid w:val="007A74F7"/>
    <w:rsid w:val="007B1802"/>
    <w:rsid w:val="007C1286"/>
    <w:rsid w:val="007C3EF0"/>
    <w:rsid w:val="007C57BA"/>
    <w:rsid w:val="007C7F3F"/>
    <w:rsid w:val="007D49F1"/>
    <w:rsid w:val="007D536B"/>
    <w:rsid w:val="007E063A"/>
    <w:rsid w:val="007E19BE"/>
    <w:rsid w:val="007E27C0"/>
    <w:rsid w:val="007E3C92"/>
    <w:rsid w:val="007E4217"/>
    <w:rsid w:val="007E563B"/>
    <w:rsid w:val="007E63D0"/>
    <w:rsid w:val="007F0E52"/>
    <w:rsid w:val="007F4366"/>
    <w:rsid w:val="00804983"/>
    <w:rsid w:val="00805A5D"/>
    <w:rsid w:val="00806270"/>
    <w:rsid w:val="008073CF"/>
    <w:rsid w:val="008104BB"/>
    <w:rsid w:val="008168DE"/>
    <w:rsid w:val="0082085C"/>
    <w:rsid w:val="0082365B"/>
    <w:rsid w:val="00824342"/>
    <w:rsid w:val="00824448"/>
    <w:rsid w:val="00830F0D"/>
    <w:rsid w:val="00834AC9"/>
    <w:rsid w:val="00842801"/>
    <w:rsid w:val="008455A3"/>
    <w:rsid w:val="00847EF3"/>
    <w:rsid w:val="00852079"/>
    <w:rsid w:val="00853216"/>
    <w:rsid w:val="00853E64"/>
    <w:rsid w:val="008605B0"/>
    <w:rsid w:val="008626D2"/>
    <w:rsid w:val="008729D8"/>
    <w:rsid w:val="00882992"/>
    <w:rsid w:val="0088477F"/>
    <w:rsid w:val="00887D74"/>
    <w:rsid w:val="008924B6"/>
    <w:rsid w:val="00893B8E"/>
    <w:rsid w:val="00897908"/>
    <w:rsid w:val="00897DB3"/>
    <w:rsid w:val="008A0B88"/>
    <w:rsid w:val="008A229C"/>
    <w:rsid w:val="008B07B5"/>
    <w:rsid w:val="008D0B3C"/>
    <w:rsid w:val="008D1571"/>
    <w:rsid w:val="008D2566"/>
    <w:rsid w:val="008D37F7"/>
    <w:rsid w:val="008D7988"/>
    <w:rsid w:val="008E0E77"/>
    <w:rsid w:val="008E1489"/>
    <w:rsid w:val="008F15D4"/>
    <w:rsid w:val="008F1F30"/>
    <w:rsid w:val="008F2C8D"/>
    <w:rsid w:val="009017BF"/>
    <w:rsid w:val="009038F3"/>
    <w:rsid w:val="009071D0"/>
    <w:rsid w:val="00927671"/>
    <w:rsid w:val="00927EB4"/>
    <w:rsid w:val="00933776"/>
    <w:rsid w:val="009351E1"/>
    <w:rsid w:val="00937570"/>
    <w:rsid w:val="0094307B"/>
    <w:rsid w:val="00943C19"/>
    <w:rsid w:val="00943EF3"/>
    <w:rsid w:val="00944F92"/>
    <w:rsid w:val="00957FE9"/>
    <w:rsid w:val="0096028B"/>
    <w:rsid w:val="009625AC"/>
    <w:rsid w:val="009660D6"/>
    <w:rsid w:val="00966A12"/>
    <w:rsid w:val="00970A3A"/>
    <w:rsid w:val="0097128B"/>
    <w:rsid w:val="00980225"/>
    <w:rsid w:val="00982215"/>
    <w:rsid w:val="009961B8"/>
    <w:rsid w:val="00996455"/>
    <w:rsid w:val="009A149E"/>
    <w:rsid w:val="009B4A7F"/>
    <w:rsid w:val="009B5FF6"/>
    <w:rsid w:val="009C1C63"/>
    <w:rsid w:val="009C32B6"/>
    <w:rsid w:val="009C65FF"/>
    <w:rsid w:val="009D0DF1"/>
    <w:rsid w:val="009D1905"/>
    <w:rsid w:val="009D1A19"/>
    <w:rsid w:val="009D412D"/>
    <w:rsid w:val="009D5B4A"/>
    <w:rsid w:val="009D7ABE"/>
    <w:rsid w:val="009E074B"/>
    <w:rsid w:val="009E565D"/>
    <w:rsid w:val="009E56EE"/>
    <w:rsid w:val="009F4878"/>
    <w:rsid w:val="009F7E4E"/>
    <w:rsid w:val="00A050C6"/>
    <w:rsid w:val="00A055B4"/>
    <w:rsid w:val="00A062F5"/>
    <w:rsid w:val="00A14AF6"/>
    <w:rsid w:val="00A16984"/>
    <w:rsid w:val="00A16996"/>
    <w:rsid w:val="00A26340"/>
    <w:rsid w:val="00A269A4"/>
    <w:rsid w:val="00A404FD"/>
    <w:rsid w:val="00A4080F"/>
    <w:rsid w:val="00A42946"/>
    <w:rsid w:val="00A42CAC"/>
    <w:rsid w:val="00A45771"/>
    <w:rsid w:val="00A5213B"/>
    <w:rsid w:val="00A53564"/>
    <w:rsid w:val="00A54384"/>
    <w:rsid w:val="00A54C72"/>
    <w:rsid w:val="00A56D99"/>
    <w:rsid w:val="00A6227F"/>
    <w:rsid w:val="00A7106E"/>
    <w:rsid w:val="00A72CC6"/>
    <w:rsid w:val="00A7397D"/>
    <w:rsid w:val="00A73D2D"/>
    <w:rsid w:val="00A73FBE"/>
    <w:rsid w:val="00A81A40"/>
    <w:rsid w:val="00A82D7F"/>
    <w:rsid w:val="00A8483A"/>
    <w:rsid w:val="00A8643F"/>
    <w:rsid w:val="00A90109"/>
    <w:rsid w:val="00A91ECB"/>
    <w:rsid w:val="00A9200D"/>
    <w:rsid w:val="00A93BBB"/>
    <w:rsid w:val="00A96ABD"/>
    <w:rsid w:val="00AA2E46"/>
    <w:rsid w:val="00AA427A"/>
    <w:rsid w:val="00AA63AD"/>
    <w:rsid w:val="00AB1575"/>
    <w:rsid w:val="00AB6BF6"/>
    <w:rsid w:val="00AC0283"/>
    <w:rsid w:val="00AC497B"/>
    <w:rsid w:val="00AD4652"/>
    <w:rsid w:val="00AD5420"/>
    <w:rsid w:val="00AD6D79"/>
    <w:rsid w:val="00AD6F8F"/>
    <w:rsid w:val="00AE3BD2"/>
    <w:rsid w:val="00AE7720"/>
    <w:rsid w:val="00AF4DF8"/>
    <w:rsid w:val="00B0058F"/>
    <w:rsid w:val="00B00EE2"/>
    <w:rsid w:val="00B029C7"/>
    <w:rsid w:val="00B03784"/>
    <w:rsid w:val="00B13CCE"/>
    <w:rsid w:val="00B1468E"/>
    <w:rsid w:val="00B15257"/>
    <w:rsid w:val="00B154CF"/>
    <w:rsid w:val="00B16C43"/>
    <w:rsid w:val="00B1746D"/>
    <w:rsid w:val="00B2255C"/>
    <w:rsid w:val="00B276C5"/>
    <w:rsid w:val="00B37BA1"/>
    <w:rsid w:val="00B37C3E"/>
    <w:rsid w:val="00B4108C"/>
    <w:rsid w:val="00B459E7"/>
    <w:rsid w:val="00B531C4"/>
    <w:rsid w:val="00B555AE"/>
    <w:rsid w:val="00B5570D"/>
    <w:rsid w:val="00B60DEB"/>
    <w:rsid w:val="00B63A6A"/>
    <w:rsid w:val="00B63CBD"/>
    <w:rsid w:val="00B63D01"/>
    <w:rsid w:val="00B652AC"/>
    <w:rsid w:val="00B77E6F"/>
    <w:rsid w:val="00B80C46"/>
    <w:rsid w:val="00B87948"/>
    <w:rsid w:val="00B87CFB"/>
    <w:rsid w:val="00B912CD"/>
    <w:rsid w:val="00B94A21"/>
    <w:rsid w:val="00B97909"/>
    <w:rsid w:val="00BA0FA1"/>
    <w:rsid w:val="00BA389B"/>
    <w:rsid w:val="00BA4EDA"/>
    <w:rsid w:val="00BB38DB"/>
    <w:rsid w:val="00BB796B"/>
    <w:rsid w:val="00BC2683"/>
    <w:rsid w:val="00BC42B4"/>
    <w:rsid w:val="00BC77A3"/>
    <w:rsid w:val="00BD10AF"/>
    <w:rsid w:val="00BD26B8"/>
    <w:rsid w:val="00BD4AF1"/>
    <w:rsid w:val="00BE0C5D"/>
    <w:rsid w:val="00BE5DC0"/>
    <w:rsid w:val="00BE6F36"/>
    <w:rsid w:val="00BF05C7"/>
    <w:rsid w:val="00BF358A"/>
    <w:rsid w:val="00BF5EE4"/>
    <w:rsid w:val="00BF7E3B"/>
    <w:rsid w:val="00BF7F59"/>
    <w:rsid w:val="00C029BA"/>
    <w:rsid w:val="00C03737"/>
    <w:rsid w:val="00C05C6D"/>
    <w:rsid w:val="00C06F5D"/>
    <w:rsid w:val="00C10856"/>
    <w:rsid w:val="00C123C0"/>
    <w:rsid w:val="00C16FAE"/>
    <w:rsid w:val="00C2087E"/>
    <w:rsid w:val="00C23480"/>
    <w:rsid w:val="00C259BD"/>
    <w:rsid w:val="00C266C0"/>
    <w:rsid w:val="00C5059E"/>
    <w:rsid w:val="00C50633"/>
    <w:rsid w:val="00C56B9F"/>
    <w:rsid w:val="00C626E2"/>
    <w:rsid w:val="00C6737D"/>
    <w:rsid w:val="00C71418"/>
    <w:rsid w:val="00C71D63"/>
    <w:rsid w:val="00C84BC3"/>
    <w:rsid w:val="00C875F9"/>
    <w:rsid w:val="00C918FF"/>
    <w:rsid w:val="00C946B6"/>
    <w:rsid w:val="00C9724D"/>
    <w:rsid w:val="00CA33BD"/>
    <w:rsid w:val="00CA4A9D"/>
    <w:rsid w:val="00CB3A8B"/>
    <w:rsid w:val="00CB4F9A"/>
    <w:rsid w:val="00CB6584"/>
    <w:rsid w:val="00CB6A0E"/>
    <w:rsid w:val="00CC583E"/>
    <w:rsid w:val="00CC5E5F"/>
    <w:rsid w:val="00CC6BAC"/>
    <w:rsid w:val="00CD0C77"/>
    <w:rsid w:val="00CD2D9B"/>
    <w:rsid w:val="00CD4BBE"/>
    <w:rsid w:val="00CE22D0"/>
    <w:rsid w:val="00CF09A1"/>
    <w:rsid w:val="00CF389B"/>
    <w:rsid w:val="00CF3E4F"/>
    <w:rsid w:val="00CF58D7"/>
    <w:rsid w:val="00D010A5"/>
    <w:rsid w:val="00D02C78"/>
    <w:rsid w:val="00D04CFC"/>
    <w:rsid w:val="00D04F7E"/>
    <w:rsid w:val="00D10205"/>
    <w:rsid w:val="00D13960"/>
    <w:rsid w:val="00D14FC0"/>
    <w:rsid w:val="00D209E2"/>
    <w:rsid w:val="00D2282F"/>
    <w:rsid w:val="00D3100A"/>
    <w:rsid w:val="00D35DC0"/>
    <w:rsid w:val="00D41282"/>
    <w:rsid w:val="00D44C48"/>
    <w:rsid w:val="00D47840"/>
    <w:rsid w:val="00D51953"/>
    <w:rsid w:val="00D543FB"/>
    <w:rsid w:val="00D6471A"/>
    <w:rsid w:val="00D67F6D"/>
    <w:rsid w:val="00D733D7"/>
    <w:rsid w:val="00D73D6F"/>
    <w:rsid w:val="00D73E71"/>
    <w:rsid w:val="00D81067"/>
    <w:rsid w:val="00D815A2"/>
    <w:rsid w:val="00D93D30"/>
    <w:rsid w:val="00DA1A45"/>
    <w:rsid w:val="00DA73E3"/>
    <w:rsid w:val="00DA7FD4"/>
    <w:rsid w:val="00DB2214"/>
    <w:rsid w:val="00DB3D3A"/>
    <w:rsid w:val="00DB437E"/>
    <w:rsid w:val="00DB5754"/>
    <w:rsid w:val="00DC1B53"/>
    <w:rsid w:val="00DC4F83"/>
    <w:rsid w:val="00DD1A1D"/>
    <w:rsid w:val="00DD1AF5"/>
    <w:rsid w:val="00DD7717"/>
    <w:rsid w:val="00DE0665"/>
    <w:rsid w:val="00DE0B0E"/>
    <w:rsid w:val="00DE1C92"/>
    <w:rsid w:val="00DE1E79"/>
    <w:rsid w:val="00DE230B"/>
    <w:rsid w:val="00DE24C3"/>
    <w:rsid w:val="00DE46EF"/>
    <w:rsid w:val="00DE5905"/>
    <w:rsid w:val="00DE7DAF"/>
    <w:rsid w:val="00DF11AF"/>
    <w:rsid w:val="00DF18FD"/>
    <w:rsid w:val="00DF1C75"/>
    <w:rsid w:val="00DF4DDE"/>
    <w:rsid w:val="00E03C46"/>
    <w:rsid w:val="00E03DE4"/>
    <w:rsid w:val="00E03DE6"/>
    <w:rsid w:val="00E14A93"/>
    <w:rsid w:val="00E16DAE"/>
    <w:rsid w:val="00E2310E"/>
    <w:rsid w:val="00E231CF"/>
    <w:rsid w:val="00E3216B"/>
    <w:rsid w:val="00E326A2"/>
    <w:rsid w:val="00E327E7"/>
    <w:rsid w:val="00E34403"/>
    <w:rsid w:val="00E4039A"/>
    <w:rsid w:val="00E40541"/>
    <w:rsid w:val="00E4414B"/>
    <w:rsid w:val="00E47AB9"/>
    <w:rsid w:val="00E51A64"/>
    <w:rsid w:val="00E527CA"/>
    <w:rsid w:val="00E55EFF"/>
    <w:rsid w:val="00E616ED"/>
    <w:rsid w:val="00E71D9E"/>
    <w:rsid w:val="00EA0924"/>
    <w:rsid w:val="00EA24D4"/>
    <w:rsid w:val="00EA6B11"/>
    <w:rsid w:val="00EA6D78"/>
    <w:rsid w:val="00EB264E"/>
    <w:rsid w:val="00EB2CD6"/>
    <w:rsid w:val="00EC1616"/>
    <w:rsid w:val="00EC3B6E"/>
    <w:rsid w:val="00EC3D38"/>
    <w:rsid w:val="00EC3DA0"/>
    <w:rsid w:val="00EC768E"/>
    <w:rsid w:val="00ED4B8F"/>
    <w:rsid w:val="00ED55F4"/>
    <w:rsid w:val="00EE05A4"/>
    <w:rsid w:val="00EE6295"/>
    <w:rsid w:val="00EF2566"/>
    <w:rsid w:val="00EF297D"/>
    <w:rsid w:val="00EF2B52"/>
    <w:rsid w:val="00EF67AD"/>
    <w:rsid w:val="00F05406"/>
    <w:rsid w:val="00F072BF"/>
    <w:rsid w:val="00F11CDA"/>
    <w:rsid w:val="00F14E8B"/>
    <w:rsid w:val="00F155F1"/>
    <w:rsid w:val="00F16834"/>
    <w:rsid w:val="00F31ED0"/>
    <w:rsid w:val="00F340FB"/>
    <w:rsid w:val="00F35684"/>
    <w:rsid w:val="00F35C30"/>
    <w:rsid w:val="00F367C7"/>
    <w:rsid w:val="00F40C71"/>
    <w:rsid w:val="00F45008"/>
    <w:rsid w:val="00F46C6A"/>
    <w:rsid w:val="00F50B8D"/>
    <w:rsid w:val="00F54BCB"/>
    <w:rsid w:val="00F557E9"/>
    <w:rsid w:val="00F57160"/>
    <w:rsid w:val="00F668D5"/>
    <w:rsid w:val="00F67587"/>
    <w:rsid w:val="00F7406B"/>
    <w:rsid w:val="00F82DCB"/>
    <w:rsid w:val="00F85EBC"/>
    <w:rsid w:val="00F90B0C"/>
    <w:rsid w:val="00F93186"/>
    <w:rsid w:val="00FA2AC7"/>
    <w:rsid w:val="00FB3D76"/>
    <w:rsid w:val="00FC040D"/>
    <w:rsid w:val="00FC1A72"/>
    <w:rsid w:val="00FD0863"/>
    <w:rsid w:val="00FD1445"/>
    <w:rsid w:val="00FD176A"/>
    <w:rsid w:val="00FD44A7"/>
    <w:rsid w:val="00FD602F"/>
    <w:rsid w:val="00FD73F1"/>
    <w:rsid w:val="00FD7A6D"/>
    <w:rsid w:val="00FE16C2"/>
    <w:rsid w:val="00FE1AE0"/>
    <w:rsid w:val="00FE5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16AD"/>
    <w:rPr>
      <w:rFonts w:eastAsia="MS Mincho"/>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626D2"/>
    <w:pPr>
      <w:tabs>
        <w:tab w:val="center" w:pos="4677"/>
        <w:tab w:val="right" w:pos="9355"/>
      </w:tabs>
    </w:pPr>
  </w:style>
  <w:style w:type="character" w:styleId="a5">
    <w:name w:val="page number"/>
    <w:basedOn w:val="a0"/>
    <w:rsid w:val="008626D2"/>
  </w:style>
  <w:style w:type="paragraph" w:styleId="a6">
    <w:name w:val="header"/>
    <w:basedOn w:val="a"/>
    <w:rsid w:val="00E34403"/>
    <w:pPr>
      <w:tabs>
        <w:tab w:val="center" w:pos="4677"/>
        <w:tab w:val="right" w:pos="9355"/>
      </w:tabs>
    </w:pPr>
  </w:style>
  <w:style w:type="paragraph" w:styleId="a7">
    <w:name w:val="Balloon Text"/>
    <w:basedOn w:val="a"/>
    <w:link w:val="a8"/>
    <w:rsid w:val="007732BB"/>
    <w:rPr>
      <w:rFonts w:ascii="Tahoma" w:hAnsi="Tahoma" w:cs="Tahoma"/>
      <w:sz w:val="16"/>
      <w:szCs w:val="16"/>
    </w:rPr>
  </w:style>
  <w:style w:type="character" w:customStyle="1" w:styleId="a8">
    <w:name w:val="Текст выноски Знак"/>
    <w:link w:val="a7"/>
    <w:rsid w:val="007732BB"/>
    <w:rPr>
      <w:rFonts w:ascii="Tahoma" w:eastAsia="MS Mincho" w:hAnsi="Tahoma" w:cs="Tahoma"/>
      <w:sz w:val="16"/>
      <w:szCs w:val="16"/>
    </w:rPr>
  </w:style>
  <w:style w:type="character" w:customStyle="1" w:styleId="Correctoraz">
    <w:name w:val="Corrector_az"/>
    <w:semiHidden/>
    <w:rsid w:val="004F07CA"/>
    <w:rPr>
      <w:rFonts w:ascii="Arial" w:hAnsi="Arial" w:cs="Arial"/>
      <w:color w:val="000080"/>
      <w:sz w:val="20"/>
      <w:szCs w:val="20"/>
    </w:rPr>
  </w:style>
  <w:style w:type="character" w:customStyle="1" w:styleId="a4">
    <w:name w:val="Нижний колонтитул Знак"/>
    <w:basedOn w:val="a0"/>
    <w:link w:val="a3"/>
    <w:uiPriority w:val="99"/>
    <w:rsid w:val="00667FBC"/>
    <w:rPr>
      <w:rFonts w:eastAsia="MS Mincho"/>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16AD"/>
    <w:rPr>
      <w:rFonts w:eastAsia="MS Mincho"/>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626D2"/>
    <w:pPr>
      <w:tabs>
        <w:tab w:val="center" w:pos="4677"/>
        <w:tab w:val="right" w:pos="9355"/>
      </w:tabs>
    </w:pPr>
  </w:style>
  <w:style w:type="character" w:styleId="a5">
    <w:name w:val="page number"/>
    <w:basedOn w:val="a0"/>
    <w:rsid w:val="008626D2"/>
  </w:style>
  <w:style w:type="paragraph" w:styleId="a6">
    <w:name w:val="header"/>
    <w:basedOn w:val="a"/>
    <w:rsid w:val="00E34403"/>
    <w:pPr>
      <w:tabs>
        <w:tab w:val="center" w:pos="4677"/>
        <w:tab w:val="right" w:pos="9355"/>
      </w:tabs>
    </w:pPr>
  </w:style>
  <w:style w:type="paragraph" w:styleId="a7">
    <w:name w:val="Balloon Text"/>
    <w:basedOn w:val="a"/>
    <w:link w:val="a8"/>
    <w:rsid w:val="007732BB"/>
    <w:rPr>
      <w:rFonts w:ascii="Tahoma" w:hAnsi="Tahoma" w:cs="Tahoma"/>
      <w:sz w:val="16"/>
      <w:szCs w:val="16"/>
    </w:rPr>
  </w:style>
  <w:style w:type="character" w:customStyle="1" w:styleId="a8">
    <w:name w:val="Текст выноски Знак"/>
    <w:link w:val="a7"/>
    <w:rsid w:val="007732BB"/>
    <w:rPr>
      <w:rFonts w:ascii="Tahoma" w:eastAsia="MS Mincho" w:hAnsi="Tahoma" w:cs="Tahoma"/>
      <w:sz w:val="16"/>
      <w:szCs w:val="16"/>
    </w:rPr>
  </w:style>
  <w:style w:type="character" w:customStyle="1" w:styleId="Correctoraz">
    <w:name w:val="Corrector_az"/>
    <w:semiHidden/>
    <w:rsid w:val="004F07CA"/>
    <w:rPr>
      <w:rFonts w:ascii="Arial" w:hAnsi="Arial" w:cs="Arial"/>
      <w:color w:val="000080"/>
      <w:sz w:val="20"/>
      <w:szCs w:val="20"/>
    </w:rPr>
  </w:style>
  <w:style w:type="character" w:customStyle="1" w:styleId="a4">
    <w:name w:val="Нижний колонтитул Знак"/>
    <w:basedOn w:val="a0"/>
    <w:link w:val="a3"/>
    <w:uiPriority w:val="99"/>
    <w:rsid w:val="00667FBC"/>
    <w:rPr>
      <w:rFonts w:eastAsia="MS Minch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9072E-B20B-44EE-B802-5C676F38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5082</Words>
  <Characters>28969</Characters>
  <Application>Microsoft Office Word</Application>
  <DocSecurity>0</DocSecurity>
  <Lines>241</Lines>
  <Paragraphs>67</Paragraphs>
  <ScaleCrop>false</ScaleCrop>
  <HeadingPairs>
    <vt:vector size="6" baseType="variant">
      <vt:variant>
        <vt:lpstr>Название</vt:lpstr>
      </vt:variant>
      <vt:variant>
        <vt:i4>1</vt:i4>
      </vt:variant>
      <vt:variant>
        <vt:lpstr>Název</vt:lpstr>
      </vt:variant>
      <vt:variant>
        <vt:i4>1</vt:i4>
      </vt:variant>
      <vt:variant>
        <vt:lpstr>Title</vt:lpstr>
      </vt:variant>
      <vt:variant>
        <vt:i4>1</vt:i4>
      </vt:variant>
    </vt:vector>
  </HeadingPairs>
  <TitlesOfParts>
    <vt:vector size="3" baseType="lpstr">
      <vt:lpstr>Layihə</vt:lpstr>
      <vt:lpstr>Layihə</vt:lpstr>
      <vt:lpstr>Layihə</vt:lpstr>
    </vt:vector>
  </TitlesOfParts>
  <Company>SPecialiST RePack</Company>
  <LinksUpToDate>false</LinksUpToDate>
  <CharactersWithSpaces>33984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Layihə</dc:title>
  <dc:creator>Rena Xalafova</dc:creator>
  <cp:lastModifiedBy>almalistore25@outlook.com</cp:lastModifiedBy>
  <cp:revision>2</cp:revision>
  <cp:lastPrinted>2015-01-15T11:31:00Z</cp:lastPrinted>
  <dcterms:created xsi:type="dcterms:W3CDTF">2015-09-29T07:36:00Z</dcterms:created>
  <dcterms:modified xsi:type="dcterms:W3CDTF">2015-09-29T07:36:00Z</dcterms:modified>
</cp:coreProperties>
</file>